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6985" w14:textId="35E8DECF" w:rsidR="00211087" w:rsidRPr="00BB36A5" w:rsidRDefault="00157D2C" w:rsidP="00F5318E">
      <w:pPr>
        <w:pStyle w:val="Header"/>
        <w:ind w:left="1710" w:right="360" w:hanging="450"/>
        <w:rPr>
          <w:rFonts w:cstheme="minorHAnsi"/>
          <w:lang w:val="es-PR"/>
        </w:rPr>
      </w:pPr>
      <w:r w:rsidRPr="00BB36A5">
        <w:rPr>
          <w:rFonts w:cstheme="minorHAnsi"/>
          <w:noProof/>
        </w:rPr>
        <w:drawing>
          <wp:anchor distT="0" distB="0" distL="114300" distR="114300" simplePos="0" relativeHeight="251659264" behindDoc="1" locked="0" layoutInCell="1" allowOverlap="1" wp14:anchorId="6093F18F" wp14:editId="26A6EDA1">
            <wp:simplePos x="0" y="0"/>
            <wp:positionH relativeFrom="column">
              <wp:posOffset>-403013</wp:posOffset>
            </wp:positionH>
            <wp:positionV relativeFrom="paragraph">
              <wp:posOffset>-62865</wp:posOffset>
            </wp:positionV>
            <wp:extent cx="1080135" cy="10801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00211087" w:rsidRPr="00BB36A5">
        <w:rPr>
          <w:rFonts w:cstheme="minorHAnsi"/>
          <w:spacing w:val="20"/>
          <w:lang w:val="es-PR"/>
        </w:rPr>
        <w:t>GO</w:t>
      </w:r>
      <w:r w:rsidR="0073325A" w:rsidRPr="00BB36A5">
        <w:rPr>
          <w:rFonts w:cstheme="minorHAnsi"/>
          <w:spacing w:val="20"/>
          <w:lang w:val="es-PR"/>
        </w:rPr>
        <w:t>BIERNO</w:t>
      </w:r>
      <w:r w:rsidR="0038619E" w:rsidRPr="00BB36A5">
        <w:rPr>
          <w:rFonts w:cstheme="minorHAnsi"/>
          <w:spacing w:val="20"/>
          <w:lang w:val="es-PR"/>
        </w:rPr>
        <w:t xml:space="preserve"> </w:t>
      </w:r>
      <w:r w:rsidR="0073325A" w:rsidRPr="00BB36A5">
        <w:rPr>
          <w:rFonts w:cstheme="minorHAnsi"/>
          <w:spacing w:val="20"/>
          <w:lang w:val="es-PR"/>
        </w:rPr>
        <w:t>DE</w:t>
      </w:r>
      <w:r w:rsidR="0038619E" w:rsidRPr="00BB36A5">
        <w:rPr>
          <w:rFonts w:cstheme="minorHAnsi"/>
          <w:spacing w:val="20"/>
          <w:lang w:val="es-PR"/>
        </w:rPr>
        <w:t xml:space="preserve"> PUERTO RICO</w:t>
      </w:r>
    </w:p>
    <w:p w14:paraId="7C70026F" w14:textId="77777777" w:rsidR="00211087" w:rsidRPr="00BB36A5" w:rsidRDefault="00211087" w:rsidP="00211087">
      <w:pPr>
        <w:pStyle w:val="Header"/>
        <w:ind w:left="1800" w:hanging="90"/>
        <w:rPr>
          <w:rFonts w:cstheme="minorHAnsi"/>
          <w:spacing w:val="20"/>
          <w:lang w:val="es-PR"/>
        </w:rPr>
      </w:pPr>
      <w:r w:rsidRPr="00BB36A5">
        <w:rPr>
          <w:rFonts w:cstheme="minorHAnsi"/>
          <w:noProof/>
          <w:spacing w:val="20"/>
        </w:rPr>
        <mc:AlternateContent>
          <mc:Choice Requires="wps">
            <w:drawing>
              <wp:anchor distT="0" distB="0" distL="114300" distR="114300" simplePos="0" relativeHeight="251660288" behindDoc="0" locked="0" layoutInCell="1" allowOverlap="1" wp14:anchorId="6CF70038" wp14:editId="5AD0502A">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26B2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" strokecolor="#7f7f7f [1612]" strokeweight=".5pt">
                <v:stroke joinstyle="miter"/>
              </v:line>
            </w:pict>
          </mc:Fallback>
        </mc:AlternateContent>
      </w:r>
      <w:r w:rsidRPr="00BB36A5">
        <w:rPr>
          <w:rFonts w:cstheme="minorHAnsi"/>
          <w:spacing w:val="20"/>
          <w:lang w:val="es-PR"/>
        </w:rPr>
        <w:t xml:space="preserve">  </w:t>
      </w:r>
    </w:p>
    <w:p w14:paraId="701A448C" w14:textId="3063BFB8" w:rsidR="00211087" w:rsidRPr="00BB36A5" w:rsidRDefault="00211087" w:rsidP="00211087">
      <w:pPr>
        <w:pStyle w:val="Header"/>
        <w:rPr>
          <w:rFonts w:cstheme="minorHAnsi"/>
          <w:spacing w:val="20"/>
          <w:lang w:val="es-PR"/>
        </w:rPr>
      </w:pPr>
      <w:r w:rsidRPr="00BB36A5">
        <w:rPr>
          <w:rFonts w:cstheme="minorHAnsi"/>
          <w:spacing w:val="20"/>
          <w:lang w:val="es-PR"/>
        </w:rPr>
        <w:t xml:space="preserve">                 </w:t>
      </w:r>
      <w:r w:rsidR="0038619E" w:rsidRPr="00BB36A5">
        <w:rPr>
          <w:rFonts w:cstheme="minorHAnsi"/>
          <w:spacing w:val="20"/>
          <w:lang w:val="es-PR"/>
        </w:rPr>
        <w:t>Depar</w:t>
      </w:r>
      <w:r w:rsidR="0073325A" w:rsidRPr="00BB36A5">
        <w:rPr>
          <w:rFonts w:cstheme="minorHAnsi"/>
          <w:spacing w:val="20"/>
          <w:lang w:val="es-PR"/>
        </w:rPr>
        <w:t>tamento de</w:t>
      </w:r>
      <w:r w:rsidR="0038619E" w:rsidRPr="00BB36A5">
        <w:rPr>
          <w:rFonts w:cstheme="minorHAnsi"/>
          <w:spacing w:val="20"/>
          <w:lang w:val="es-PR"/>
        </w:rPr>
        <w:t xml:space="preserve"> </w:t>
      </w:r>
      <w:r w:rsidR="0073325A" w:rsidRPr="00BB36A5">
        <w:rPr>
          <w:rFonts w:cstheme="minorHAnsi"/>
          <w:spacing w:val="20"/>
          <w:lang w:val="es-PR"/>
        </w:rPr>
        <w:t>Educación</w:t>
      </w:r>
    </w:p>
    <w:p w14:paraId="3AC4A22D" w14:textId="01876AD2" w:rsidR="00211087" w:rsidRPr="00BB36A5" w:rsidRDefault="00211087" w:rsidP="00211087">
      <w:pPr>
        <w:pStyle w:val="Header"/>
        <w:rPr>
          <w:rFonts w:cstheme="minorHAnsi"/>
          <w:spacing w:val="20"/>
          <w:lang w:val="es-PR"/>
        </w:rPr>
      </w:pPr>
      <w:r w:rsidRPr="00BB36A5">
        <w:rPr>
          <w:rFonts w:cstheme="minorHAnsi"/>
          <w:spacing w:val="20"/>
          <w:lang w:val="es-PR"/>
        </w:rPr>
        <w:t xml:space="preserve">                 </w:t>
      </w:r>
      <w:r w:rsidR="0073325A" w:rsidRPr="00BB36A5">
        <w:rPr>
          <w:rFonts w:cstheme="minorHAnsi"/>
          <w:spacing w:val="20"/>
          <w:lang w:val="es-PR"/>
        </w:rPr>
        <w:t>Secretaria Auxiliar para</w:t>
      </w:r>
      <w:r w:rsidR="0038619E" w:rsidRPr="00BB36A5">
        <w:rPr>
          <w:rFonts w:cstheme="minorHAnsi"/>
          <w:spacing w:val="20"/>
          <w:lang w:val="es-PR"/>
        </w:rPr>
        <w:t xml:space="preserve"> </w:t>
      </w:r>
      <w:r w:rsidR="0073325A" w:rsidRPr="00BB36A5">
        <w:rPr>
          <w:rFonts w:cstheme="minorHAnsi"/>
          <w:spacing w:val="20"/>
          <w:lang w:val="es-PR"/>
        </w:rPr>
        <w:t>Asuntos Federales</w:t>
      </w:r>
    </w:p>
    <w:p w14:paraId="248E60CE" w14:textId="77777777" w:rsidR="00D86C25" w:rsidRPr="00BB36A5" w:rsidRDefault="00D86C25" w:rsidP="00211087">
      <w:pPr>
        <w:pStyle w:val="Header"/>
        <w:rPr>
          <w:rFonts w:cstheme="minorHAnsi"/>
          <w:spacing w:val="20"/>
          <w:lang w:val="es-PR"/>
        </w:rPr>
      </w:pPr>
    </w:p>
    <w:p w14:paraId="05248B1E" w14:textId="77777777" w:rsidR="00D86C25" w:rsidRPr="00BB36A5" w:rsidRDefault="00D86C25" w:rsidP="00211087">
      <w:pPr>
        <w:pStyle w:val="Header"/>
        <w:rPr>
          <w:rFonts w:cstheme="minorHAnsi"/>
          <w:spacing w:val="20"/>
          <w:lang w:val="es-PR"/>
        </w:rPr>
      </w:pPr>
    </w:p>
    <w:p w14:paraId="3692477F" w14:textId="02996BBD" w:rsidR="00026912" w:rsidRPr="00BB36A5" w:rsidRDefault="0073325A" w:rsidP="00026912">
      <w:pPr>
        <w:pStyle w:val="Heading1"/>
        <w:spacing w:before="0"/>
        <w:jc w:val="center"/>
        <w:rPr>
          <w:rFonts w:cstheme="majorHAnsi"/>
          <w:b/>
          <w:color w:val="auto"/>
          <w:sz w:val="24"/>
          <w:szCs w:val="24"/>
          <w:lang w:val="es-PR"/>
        </w:rPr>
      </w:pPr>
      <w:r w:rsidRPr="00BB36A5">
        <w:rPr>
          <w:rFonts w:cstheme="majorHAnsi"/>
          <w:b/>
          <w:color w:val="auto"/>
          <w:sz w:val="24"/>
          <w:szCs w:val="24"/>
          <w:lang w:val="es-PR"/>
        </w:rPr>
        <w:t xml:space="preserve">Plan de Controles Internos y Monitoria Programa </w:t>
      </w:r>
      <w:proofErr w:type="spellStart"/>
      <w:r w:rsidR="00026912" w:rsidRPr="00BB36A5">
        <w:rPr>
          <w:rFonts w:cstheme="majorHAnsi"/>
          <w:b/>
          <w:i/>
          <w:iCs/>
          <w:color w:val="auto"/>
          <w:sz w:val="24"/>
          <w:szCs w:val="24"/>
          <w:lang w:val="es-PR"/>
        </w:rPr>
        <w:t>Restart</w:t>
      </w:r>
      <w:proofErr w:type="spellEnd"/>
      <w:r w:rsidR="00026912" w:rsidRPr="00BB36A5">
        <w:rPr>
          <w:rFonts w:cstheme="majorHAnsi"/>
          <w:b/>
          <w:i/>
          <w:iCs/>
          <w:color w:val="auto"/>
          <w:sz w:val="24"/>
          <w:szCs w:val="24"/>
          <w:lang w:val="es-PR"/>
        </w:rPr>
        <w:t xml:space="preserve"> </w:t>
      </w:r>
    </w:p>
    <w:p w14:paraId="24CDAA48" w14:textId="111202C8" w:rsidR="00026912" w:rsidRPr="00BB36A5" w:rsidRDefault="0073325A" w:rsidP="4F9E87E5">
      <w:pPr>
        <w:jc w:val="center"/>
        <w:rPr>
          <w:rFonts w:asciiTheme="majorHAnsi" w:hAnsiTheme="majorHAnsi" w:cstheme="majorHAnsi"/>
          <w:b/>
          <w:bCs/>
          <w:lang w:val="es-PR"/>
        </w:rPr>
      </w:pPr>
      <w:r w:rsidRPr="00BB36A5">
        <w:rPr>
          <w:rFonts w:asciiTheme="majorHAnsi" w:hAnsiTheme="majorHAnsi" w:cstheme="majorHAnsi"/>
          <w:b/>
          <w:bCs/>
          <w:lang w:val="es-PR"/>
        </w:rPr>
        <w:t>Enmendado</w:t>
      </w:r>
      <w:r w:rsidR="00530DC2" w:rsidRPr="00BB36A5">
        <w:rPr>
          <w:rFonts w:asciiTheme="majorHAnsi" w:hAnsiTheme="majorHAnsi" w:cstheme="majorHAnsi"/>
          <w:b/>
          <w:bCs/>
          <w:lang w:val="es-PR"/>
        </w:rPr>
        <w:t xml:space="preserve"> </w:t>
      </w:r>
      <w:r w:rsidR="00AF0C73" w:rsidRPr="00BB36A5">
        <w:rPr>
          <w:rFonts w:asciiTheme="majorHAnsi" w:hAnsiTheme="majorHAnsi" w:cstheme="majorHAnsi"/>
          <w:b/>
          <w:bCs/>
          <w:lang w:val="es-PR"/>
        </w:rPr>
        <w:t>Marzo</w:t>
      </w:r>
      <w:r w:rsidR="007420EE" w:rsidRPr="00BB36A5">
        <w:rPr>
          <w:rFonts w:asciiTheme="majorHAnsi" w:hAnsiTheme="majorHAnsi" w:cstheme="majorHAnsi"/>
          <w:b/>
          <w:bCs/>
          <w:lang w:val="es-PR"/>
        </w:rPr>
        <w:t xml:space="preserve"> </w:t>
      </w:r>
      <w:r w:rsidR="007E1038" w:rsidRPr="00BB36A5">
        <w:rPr>
          <w:rFonts w:asciiTheme="majorHAnsi" w:hAnsiTheme="majorHAnsi" w:cstheme="majorHAnsi"/>
          <w:b/>
          <w:bCs/>
          <w:lang w:val="es-PR"/>
        </w:rPr>
        <w:t>-</w:t>
      </w:r>
      <w:r w:rsidR="00511200" w:rsidRPr="00BB36A5">
        <w:rPr>
          <w:rFonts w:asciiTheme="majorHAnsi" w:hAnsiTheme="majorHAnsi" w:cstheme="majorHAnsi"/>
          <w:b/>
          <w:bCs/>
          <w:lang w:val="es-PR"/>
        </w:rPr>
        <w:t xml:space="preserve"> 202</w:t>
      </w:r>
      <w:r w:rsidR="006E4AF9" w:rsidRPr="00BB36A5">
        <w:rPr>
          <w:rFonts w:asciiTheme="majorHAnsi" w:hAnsiTheme="majorHAnsi" w:cstheme="majorHAnsi"/>
          <w:b/>
          <w:bCs/>
          <w:lang w:val="es-PR"/>
        </w:rPr>
        <w:t>1</w:t>
      </w:r>
    </w:p>
    <w:p w14:paraId="010A4927" w14:textId="77777777" w:rsidR="00026912" w:rsidRPr="00BB36A5" w:rsidRDefault="00026912" w:rsidP="00026912">
      <w:pPr>
        <w:rPr>
          <w:rFonts w:asciiTheme="majorHAnsi" w:hAnsiTheme="majorHAnsi" w:cstheme="majorHAnsi"/>
          <w:b/>
          <w:color w:val="000000" w:themeColor="text1"/>
          <w:lang w:val="es-PR"/>
        </w:rPr>
      </w:pPr>
    </w:p>
    <w:p w14:paraId="02A50B1A" w14:textId="3EE956F6" w:rsidR="004C12EC" w:rsidRPr="00BB36A5" w:rsidRDefault="0073325A" w:rsidP="00C539FD">
      <w:pPr>
        <w:pStyle w:val="Heading1"/>
        <w:rPr>
          <w:rFonts w:cstheme="majorHAnsi"/>
          <w:b/>
          <w:sz w:val="24"/>
          <w:szCs w:val="24"/>
          <w:lang w:val="es-PR"/>
        </w:rPr>
      </w:pPr>
      <w:r w:rsidRPr="00BB36A5">
        <w:rPr>
          <w:rFonts w:cstheme="majorHAnsi"/>
          <w:b/>
          <w:sz w:val="24"/>
          <w:szCs w:val="24"/>
          <w:lang w:val="es-PR"/>
        </w:rPr>
        <w:t>Introducción</w:t>
      </w:r>
    </w:p>
    <w:p w14:paraId="0398F4BF" w14:textId="77777777" w:rsidR="004A1115" w:rsidRPr="00BB36A5" w:rsidRDefault="004A1115" w:rsidP="004A1115">
      <w:pPr>
        <w:rPr>
          <w:rFonts w:asciiTheme="majorHAnsi" w:hAnsiTheme="majorHAnsi" w:cstheme="majorHAnsi"/>
          <w:lang w:val="es-PR"/>
        </w:rPr>
      </w:pPr>
    </w:p>
    <w:p w14:paraId="22172C00" w14:textId="7C02A6F1" w:rsidR="004F32F2" w:rsidRPr="00BB36A5" w:rsidRDefault="00EC3B9E" w:rsidP="00C539FD">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La Ley de Presupuesto Bipartidista (División, B, Subdivisión I, Título VIII de P.L. 115-123) ("Ley de Presupuesto Bipartidista de 2018) autorizó cinco programas </w:t>
      </w:r>
      <w:r w:rsidR="008C6B72" w:rsidRPr="00BB36A5">
        <w:rPr>
          <w:rFonts w:asciiTheme="majorHAnsi" w:hAnsiTheme="majorHAnsi" w:cstheme="majorHAnsi"/>
          <w:color w:val="000000" w:themeColor="text1"/>
          <w:lang w:val="es-PR"/>
        </w:rPr>
        <w:t>con</w:t>
      </w:r>
      <w:r w:rsidRPr="00BB36A5">
        <w:rPr>
          <w:rFonts w:asciiTheme="majorHAnsi" w:hAnsiTheme="majorHAnsi" w:cstheme="majorHAnsi"/>
          <w:color w:val="000000" w:themeColor="text1"/>
          <w:lang w:val="es-PR"/>
        </w:rPr>
        <w:t xml:space="preserve"> fondos </w:t>
      </w:r>
      <w:r w:rsidR="008C6B72" w:rsidRPr="00BB36A5">
        <w:rPr>
          <w:rFonts w:asciiTheme="majorHAnsi" w:hAnsiTheme="majorHAnsi" w:cstheme="majorHAnsi"/>
          <w:color w:val="000000" w:themeColor="text1"/>
          <w:lang w:val="es-PR"/>
        </w:rPr>
        <w:t>de</w:t>
      </w:r>
      <w:r w:rsidRPr="00BB36A5">
        <w:rPr>
          <w:rFonts w:asciiTheme="majorHAnsi" w:hAnsiTheme="majorHAnsi" w:cstheme="majorHAnsi"/>
          <w:color w:val="000000" w:themeColor="text1"/>
          <w:lang w:val="es-PR"/>
        </w:rPr>
        <w:t xml:space="preserve"> subvención para ayudar a los distritos escolares y las escuelas a satisfacer las necesidades educativas de los estudiantes desplazados por los huracanes Harvey, Irma y María, o incendios forestales en 2017 para los cuales se ha declarado un desastre o </w:t>
      </w:r>
      <w:proofErr w:type="spellStart"/>
      <w:r w:rsidRPr="00BB36A5">
        <w:rPr>
          <w:rFonts w:asciiTheme="majorHAnsi" w:hAnsiTheme="majorHAnsi" w:cstheme="majorHAnsi"/>
          <w:color w:val="000000" w:themeColor="text1"/>
          <w:lang w:val="es-PR"/>
        </w:rPr>
        <w:t>emergenciay</w:t>
      </w:r>
      <w:proofErr w:type="spellEnd"/>
      <w:r w:rsidRPr="00BB36A5">
        <w:rPr>
          <w:rFonts w:asciiTheme="majorHAnsi" w:hAnsiTheme="majorHAnsi" w:cstheme="majorHAnsi"/>
          <w:color w:val="000000" w:themeColor="text1"/>
          <w:lang w:val="es-PR"/>
        </w:rPr>
        <w:t xml:space="preserve"> para ayudar a las escuelas que fueron cerradas como resultado de los huracanes o incendios forestales a reabrir lo más rápido y eficazmente posible. Al promulgar esta legislación, el Congreso modificó las disposiciones de la Ley de Recuperación de la Educación sobre Huracanes, la Ley Pública 109-148 (HERA), que fue promulgada después de los huracanes Katrina y Rita en 2006.  Las disposiciones de los programas </w:t>
      </w:r>
      <w:r w:rsidR="004F4636" w:rsidRPr="00BB36A5">
        <w:rPr>
          <w:rFonts w:asciiTheme="majorHAnsi" w:hAnsiTheme="majorHAnsi" w:cstheme="majorHAnsi"/>
          <w:color w:val="000000" w:themeColor="text1"/>
          <w:lang w:val="es-PR"/>
        </w:rPr>
        <w:t xml:space="preserve">de </w:t>
      </w:r>
      <w:r w:rsidRPr="00BB36A5">
        <w:rPr>
          <w:rFonts w:asciiTheme="majorHAnsi" w:hAnsiTheme="majorHAnsi" w:cstheme="majorHAnsi"/>
          <w:color w:val="000000" w:themeColor="text1"/>
          <w:lang w:val="es-PR"/>
        </w:rPr>
        <w:t xml:space="preserve">K-12 en la autoridad modificada son generalmente similares a las de la legislación anterior del programa, excepto para las referencias a los solicitantes elegibles, los nombres de los desastres y emergencias cubiertos, y referencias específicas de fecha y plazo. Favor de consultar la versión </w:t>
      </w:r>
      <w:r w:rsidR="004F4636" w:rsidRPr="00BB36A5">
        <w:rPr>
          <w:rFonts w:asciiTheme="majorHAnsi" w:hAnsiTheme="majorHAnsi" w:cstheme="majorHAnsi"/>
          <w:color w:val="000000" w:themeColor="text1"/>
          <w:lang w:val="es-PR"/>
        </w:rPr>
        <w:t>marcada en</w:t>
      </w:r>
      <w:r w:rsidRPr="00BB36A5">
        <w:rPr>
          <w:rFonts w:asciiTheme="majorHAnsi" w:hAnsiTheme="majorHAnsi" w:cstheme="majorHAnsi"/>
          <w:color w:val="000000" w:themeColor="text1"/>
          <w:lang w:val="es-PR"/>
        </w:rPr>
        <w:t xml:space="preserve"> línea roja de la HERA (P.L. 109-148) que muestra las modificaciones operativas hechas por la Ley de Presupuesto Bipartidista de 2018 (P.L. 115-123) y la Ley de Asignaciones Consolidadas de 2018 (P.L. 115-141), que se conoce como la "Ley modificada" en toda esta sección</w:t>
      </w:r>
      <w:r w:rsidR="00EB6E35" w:rsidRPr="00BB36A5">
        <w:rPr>
          <w:rStyle w:val="FootnoteReference"/>
          <w:rFonts w:asciiTheme="majorHAnsi" w:hAnsiTheme="majorHAnsi" w:cstheme="majorHAnsi"/>
          <w:color w:val="000000" w:themeColor="text1"/>
        </w:rPr>
        <w:footnoteReference w:id="2"/>
      </w:r>
      <w:r w:rsidRPr="00BB36A5">
        <w:rPr>
          <w:rFonts w:asciiTheme="majorHAnsi" w:hAnsiTheme="majorHAnsi" w:cstheme="majorHAnsi"/>
          <w:color w:val="000000" w:themeColor="text1"/>
          <w:lang w:val="es-PR"/>
        </w:rPr>
        <w:t>, disponible</w:t>
      </w:r>
      <w:r w:rsidR="004F4636"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en </w:t>
      </w:r>
      <w:r w:rsidR="004F4636" w:rsidRPr="00BB36A5">
        <w:rPr>
          <w:rFonts w:asciiTheme="majorHAnsi" w:hAnsiTheme="majorHAnsi" w:cstheme="majorHAnsi"/>
          <w:color w:val="000000" w:themeColor="text1"/>
          <w:lang w:val="es-PR"/>
        </w:rPr>
        <w:t>https://www2.ed.gov/programs/restart/2018-hurricanerelief-pl109-148.docx</w:t>
      </w:r>
      <w:r w:rsidRPr="00BB36A5">
        <w:rPr>
          <w:rFonts w:asciiTheme="majorHAnsi" w:hAnsiTheme="majorHAnsi" w:cstheme="majorHAnsi"/>
          <w:color w:val="000000" w:themeColor="text1"/>
          <w:lang w:val="es-PR"/>
        </w:rPr>
        <w:t>.</w:t>
      </w:r>
      <w:r w:rsidR="004F4636"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Estos</w:t>
      </w:r>
      <w:r w:rsidR="004F4636"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programas </w:t>
      </w:r>
      <w:r w:rsidR="004F4636" w:rsidRPr="00BB36A5">
        <w:rPr>
          <w:rFonts w:asciiTheme="majorHAnsi" w:hAnsiTheme="majorHAnsi" w:cstheme="majorHAnsi"/>
          <w:color w:val="000000" w:themeColor="text1"/>
          <w:lang w:val="es-PR"/>
        </w:rPr>
        <w:t xml:space="preserve">de </w:t>
      </w:r>
      <w:r w:rsidRPr="00BB36A5">
        <w:rPr>
          <w:rFonts w:asciiTheme="majorHAnsi" w:hAnsiTheme="majorHAnsi" w:cstheme="majorHAnsi"/>
          <w:color w:val="000000" w:themeColor="text1"/>
          <w:lang w:val="es-PR"/>
        </w:rPr>
        <w:t>K-12 son (1) el programa de Ayuda Inmediata para Reiniciar Operaciones Escolares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(CFDA 84.938A), (2) el programa de Asistencia para Niños y Jóvenes Sin Hogar (AHCY) (CFDA 84.938B), y (3) el programa de Ayuda de Impacto Temporal de Emergencia para Estudiantes Desplazados (EIA) (CFDA 84.938C). La Ley de Presupuesto Bipartidista de 2018 también financió tres programas para instituciones de educación superior para proporcionar asistencia a los estudiantes que asisten a instituciones de educación superior en áreas afectadas por desastres cubiertos. Estos programas son (1) la Asistencia de Emergencia a Instituciones de Educación Superior (CFDA 84.938T), y (2) Sufragar los costos de inscripción de estudiantes desplazados (CFDA 84.938S). Consult</w:t>
      </w:r>
      <w:r w:rsidR="004F4636" w:rsidRPr="00BB36A5">
        <w:rPr>
          <w:rFonts w:asciiTheme="majorHAnsi" w:hAnsiTheme="majorHAnsi" w:cstheme="majorHAnsi"/>
          <w:color w:val="000000" w:themeColor="text1"/>
          <w:lang w:val="es-PR"/>
        </w:rPr>
        <w:t>ar</w:t>
      </w:r>
      <w:r w:rsidRPr="00BB36A5">
        <w:rPr>
          <w:rFonts w:asciiTheme="majorHAnsi" w:hAnsiTheme="majorHAnsi" w:cstheme="majorHAnsi"/>
          <w:color w:val="000000" w:themeColor="text1"/>
          <w:lang w:val="es-PR"/>
        </w:rPr>
        <w:t xml:space="preserve"> la Sección IV, Otra información para obtener una explicación sobre el uso de sufijos alfa </w:t>
      </w:r>
      <w:r w:rsidR="004F4636" w:rsidRPr="00BB36A5">
        <w:rPr>
          <w:rFonts w:asciiTheme="majorHAnsi" w:hAnsiTheme="majorHAnsi" w:cstheme="majorHAnsi"/>
          <w:color w:val="000000" w:themeColor="text1"/>
          <w:lang w:val="es-PR"/>
        </w:rPr>
        <w:t>añadidos</w:t>
      </w:r>
      <w:r w:rsidRPr="00BB36A5">
        <w:rPr>
          <w:rFonts w:asciiTheme="majorHAnsi" w:hAnsiTheme="majorHAnsi" w:cstheme="majorHAnsi"/>
          <w:color w:val="000000" w:themeColor="text1"/>
          <w:lang w:val="es-PR"/>
        </w:rPr>
        <w:t xml:space="preserve"> al número </w:t>
      </w:r>
      <w:r w:rsidR="004F4636" w:rsidRPr="00BB36A5">
        <w:rPr>
          <w:rFonts w:asciiTheme="majorHAnsi" w:hAnsiTheme="majorHAnsi" w:cstheme="majorHAnsi"/>
          <w:color w:val="000000" w:themeColor="text1"/>
          <w:lang w:val="es-PR"/>
        </w:rPr>
        <w:t xml:space="preserve">de </w:t>
      </w:r>
      <w:r w:rsidRPr="00BB36A5">
        <w:rPr>
          <w:rFonts w:asciiTheme="majorHAnsi" w:hAnsiTheme="majorHAnsi" w:cstheme="majorHAnsi"/>
          <w:color w:val="000000" w:themeColor="text1"/>
          <w:lang w:val="es-PR"/>
        </w:rPr>
        <w:t>(CFDA 84.938A)</w:t>
      </w:r>
      <w:r w:rsidR="00AD16B1"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El programa de </w:t>
      </w:r>
      <w:proofErr w:type="spellStart"/>
      <w:r w:rsidRPr="00BB36A5">
        <w:rPr>
          <w:rFonts w:asciiTheme="majorHAnsi" w:hAnsiTheme="majorHAnsi" w:cstheme="majorHAnsi"/>
          <w:i/>
          <w:iCs/>
          <w:color w:val="000000" w:themeColor="text1"/>
          <w:lang w:val="es-PR"/>
        </w:rPr>
        <w:t>Re</w:t>
      </w:r>
      <w:r w:rsidR="004F4636" w:rsidRPr="00BB36A5">
        <w:rPr>
          <w:rFonts w:asciiTheme="majorHAnsi" w:hAnsiTheme="majorHAnsi" w:cstheme="majorHAnsi"/>
          <w:i/>
          <w:iCs/>
          <w:color w:val="000000" w:themeColor="text1"/>
          <w:lang w:val="es-PR"/>
        </w:rPr>
        <w:t>start</w:t>
      </w:r>
      <w:proofErr w:type="spellEnd"/>
      <w:r w:rsidRPr="00BB36A5">
        <w:rPr>
          <w:rFonts w:asciiTheme="majorHAnsi" w:hAnsiTheme="majorHAnsi" w:cstheme="majorHAnsi"/>
          <w:color w:val="000000" w:themeColor="text1"/>
          <w:lang w:val="es-PR"/>
        </w:rPr>
        <w:t xml:space="preserve"> está diseñado para apoyar la prestación de servicios inmediatos o asistencia a agencias educativas locales (LEA) y escuelas no públicas en áreas donde se declaró un desastre o emergencia importante bajo las secciones 401 y 501 de</w:t>
      </w:r>
      <w:r w:rsidR="004F32F2" w:rsidRPr="00BB36A5">
        <w:rPr>
          <w:rFonts w:asciiTheme="majorHAnsi" w:hAnsiTheme="majorHAnsi" w:cstheme="majorHAnsi"/>
          <w:color w:val="000000" w:themeColor="text1"/>
          <w:lang w:val="es-PR"/>
        </w:rPr>
        <w:t xml:space="preserve"> la </w:t>
      </w:r>
      <w:r w:rsidRPr="00BB36A5">
        <w:rPr>
          <w:rFonts w:asciiTheme="majorHAnsi" w:hAnsiTheme="majorHAnsi" w:cstheme="majorHAnsi"/>
          <w:color w:val="000000" w:themeColor="text1"/>
          <w:lang w:val="es-PR"/>
        </w:rPr>
        <w:t>Ley de Asistencia de Emergencia y Socorro en Desastres de</w:t>
      </w:r>
      <w:r w:rsidR="004F32F2" w:rsidRPr="00BB36A5">
        <w:rPr>
          <w:rFonts w:asciiTheme="majorHAnsi" w:hAnsiTheme="majorHAnsi" w:cstheme="majorHAnsi"/>
          <w:color w:val="000000" w:themeColor="text1"/>
          <w:lang w:val="es-PR"/>
        </w:rPr>
        <w:t xml:space="preserve"> Robert T.</w:t>
      </w:r>
      <w:r w:rsidRPr="00BB36A5">
        <w:rPr>
          <w:rFonts w:asciiTheme="majorHAnsi" w:hAnsiTheme="majorHAnsi" w:cstheme="majorHAnsi"/>
          <w:color w:val="000000" w:themeColor="text1"/>
          <w:lang w:val="es-PR"/>
        </w:rPr>
        <w:t xml:space="preserve"> Stafford (42 U.S.C. 5170 y 5190) relacionada </w:t>
      </w:r>
      <w:r w:rsidR="004F32F2"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las consecuencias de los huracanes Harvey,</w:t>
      </w:r>
      <w:r w:rsidR="0067254B" w:rsidRPr="00BB36A5">
        <w:rPr>
          <w:rFonts w:asciiTheme="majorHAnsi" w:hAnsiTheme="majorHAnsi" w:cstheme="majorHAnsi"/>
          <w:color w:val="000000" w:themeColor="text1"/>
          <w:lang w:val="es-PR"/>
        </w:rPr>
        <w:t xml:space="preserve"> </w:t>
      </w:r>
      <w:r w:rsidR="004F6423" w:rsidRPr="00BB36A5">
        <w:rPr>
          <w:rFonts w:asciiTheme="majorHAnsi" w:hAnsiTheme="majorHAnsi" w:cstheme="majorHAnsi"/>
          <w:color w:val="000000" w:themeColor="text1"/>
          <w:lang w:val="es-PR"/>
        </w:rPr>
        <w:t xml:space="preserve">Irma </w:t>
      </w:r>
      <w:r w:rsidR="004F32F2" w:rsidRPr="00BB36A5">
        <w:rPr>
          <w:rFonts w:asciiTheme="majorHAnsi" w:hAnsiTheme="majorHAnsi" w:cstheme="majorHAnsi"/>
          <w:color w:val="000000" w:themeColor="text1"/>
          <w:lang w:val="es-PR"/>
        </w:rPr>
        <w:t>y/o</w:t>
      </w:r>
      <w:r w:rsidR="004F6423" w:rsidRPr="00BB36A5">
        <w:rPr>
          <w:rFonts w:asciiTheme="majorHAnsi" w:hAnsiTheme="majorHAnsi" w:cstheme="majorHAnsi"/>
          <w:color w:val="000000" w:themeColor="text1"/>
          <w:lang w:val="es-PR"/>
        </w:rPr>
        <w:t xml:space="preserve"> </w:t>
      </w:r>
      <w:r w:rsidR="0067254B" w:rsidRPr="00BB36A5">
        <w:rPr>
          <w:rFonts w:asciiTheme="majorHAnsi" w:hAnsiTheme="majorHAnsi" w:cstheme="majorHAnsi"/>
          <w:color w:val="000000" w:themeColor="text1"/>
          <w:lang w:val="es-PR"/>
        </w:rPr>
        <w:t>María</w:t>
      </w:r>
      <w:r w:rsidR="004F6423" w:rsidRPr="00BB36A5">
        <w:rPr>
          <w:rFonts w:asciiTheme="majorHAnsi" w:hAnsiTheme="majorHAnsi" w:cstheme="majorHAnsi"/>
          <w:color w:val="000000" w:themeColor="text1"/>
          <w:lang w:val="es-PR"/>
        </w:rPr>
        <w:t xml:space="preserve"> o </w:t>
      </w:r>
      <w:r w:rsidR="004F32F2" w:rsidRPr="00BB36A5">
        <w:rPr>
          <w:rFonts w:asciiTheme="majorHAnsi" w:hAnsiTheme="majorHAnsi" w:cstheme="majorHAnsi"/>
          <w:color w:val="000000" w:themeColor="text1"/>
          <w:lang w:val="es-PR"/>
        </w:rPr>
        <w:t xml:space="preserve">los incendios forestales de California en 2017 ("un desastre o emergencia cubierta"). Los fondos </w:t>
      </w:r>
      <w:r w:rsidR="00522AAD" w:rsidRPr="00BB36A5">
        <w:rPr>
          <w:rFonts w:asciiTheme="majorHAnsi" w:hAnsiTheme="majorHAnsi" w:cstheme="majorHAnsi"/>
          <w:color w:val="000000" w:themeColor="text1"/>
          <w:lang w:val="es-PR"/>
        </w:rPr>
        <w:t>son</w:t>
      </w:r>
      <w:r w:rsidR="004F32F2" w:rsidRPr="00BB36A5">
        <w:rPr>
          <w:rFonts w:asciiTheme="majorHAnsi" w:hAnsiTheme="majorHAnsi" w:cstheme="majorHAnsi"/>
          <w:color w:val="000000" w:themeColor="text1"/>
          <w:lang w:val="es-PR"/>
        </w:rPr>
        <w:t xml:space="preserve"> para ayudar a los administradores, directores y al personal de la escuela a reiniciar las operaciones escolares, </w:t>
      </w:r>
      <w:r w:rsidR="004F32F2" w:rsidRPr="00BB36A5">
        <w:rPr>
          <w:rFonts w:asciiTheme="majorHAnsi" w:hAnsiTheme="majorHAnsi" w:cstheme="majorHAnsi"/>
          <w:color w:val="000000" w:themeColor="text1"/>
          <w:lang w:val="es-PR"/>
        </w:rPr>
        <w:lastRenderedPageBreak/>
        <w:t>reabrir las escuelas y volver a matricular a los estudiantes.  Este documento proporciona los controles internos solo para el programa de Ayuda Inmediata para Reiniciar Operaciones Escolares (</w:t>
      </w:r>
      <w:proofErr w:type="spellStart"/>
      <w:r w:rsidR="004F32F2" w:rsidRPr="00BB36A5">
        <w:rPr>
          <w:rFonts w:asciiTheme="majorHAnsi" w:hAnsiTheme="majorHAnsi" w:cstheme="majorHAnsi"/>
          <w:i/>
          <w:iCs/>
          <w:color w:val="000000" w:themeColor="text1"/>
          <w:lang w:val="es-PR"/>
        </w:rPr>
        <w:t>Restart</w:t>
      </w:r>
      <w:proofErr w:type="spellEnd"/>
      <w:r w:rsidR="004F32F2" w:rsidRPr="00BB36A5">
        <w:rPr>
          <w:rFonts w:asciiTheme="majorHAnsi" w:hAnsiTheme="majorHAnsi" w:cstheme="majorHAnsi"/>
          <w:color w:val="000000" w:themeColor="text1"/>
          <w:lang w:val="es-PR"/>
        </w:rPr>
        <w:t>) (CFDA 84.938A).</w:t>
      </w:r>
    </w:p>
    <w:p w14:paraId="0793AF1F" w14:textId="4547F3C1" w:rsidR="004F32F2" w:rsidRPr="00BB36A5" w:rsidRDefault="004F32F2" w:rsidP="00C539FD">
      <w:pPr>
        <w:pStyle w:val="Default"/>
        <w:jc w:val="both"/>
        <w:rPr>
          <w:rFonts w:asciiTheme="majorHAnsi" w:hAnsiTheme="majorHAnsi" w:cstheme="majorHAnsi"/>
          <w:color w:val="000000" w:themeColor="text1"/>
          <w:lang w:val="es-PR"/>
        </w:rPr>
      </w:pPr>
    </w:p>
    <w:p w14:paraId="745F0216" w14:textId="69D4B480" w:rsidR="001A5A49" w:rsidRPr="00BB36A5" w:rsidRDefault="001A5A49" w:rsidP="00C539FD">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Las regulaciones federales y los procedimientos administrativos requieren que el Departamento de Educación de Puerto Rico (DE</w:t>
      </w:r>
      <w:r w:rsidR="00246131"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supervise la implementación de los requisitos del programa y </w:t>
      </w:r>
      <w:r w:rsidR="00F86C92" w:rsidRPr="00BB36A5">
        <w:rPr>
          <w:rFonts w:asciiTheme="majorHAnsi" w:hAnsiTheme="majorHAnsi" w:cstheme="majorHAnsi"/>
          <w:color w:val="000000" w:themeColor="text1"/>
          <w:lang w:val="es-PR"/>
        </w:rPr>
        <w:t>el</w:t>
      </w:r>
      <w:r w:rsidRPr="00BB36A5">
        <w:rPr>
          <w:rFonts w:asciiTheme="majorHAnsi" w:hAnsiTheme="majorHAnsi" w:cstheme="majorHAnsi"/>
          <w:color w:val="000000" w:themeColor="text1"/>
          <w:lang w:val="es-PR"/>
        </w:rPr>
        <w:t xml:space="preserve"> gasto de los fondos federales</w:t>
      </w:r>
      <w:r w:rsidR="00AD5F66" w:rsidRPr="00BB36A5">
        <w:rPr>
          <w:rStyle w:val="FootnoteReference"/>
          <w:rFonts w:asciiTheme="majorHAnsi" w:hAnsiTheme="majorHAnsi" w:cstheme="majorHAnsi"/>
          <w:color w:val="000000" w:themeColor="text1"/>
        </w:rPr>
        <w:footnoteReference w:id="3"/>
      </w:r>
      <w:r w:rsidRPr="00BB36A5">
        <w:rPr>
          <w:rFonts w:asciiTheme="majorHAnsi" w:hAnsiTheme="majorHAnsi" w:cstheme="majorHAnsi"/>
          <w:color w:val="000000" w:themeColor="text1"/>
          <w:lang w:val="es-PR"/>
        </w:rPr>
        <w:t xml:space="preserve">. </w:t>
      </w:r>
      <w:r w:rsidR="00AF3907" w:rsidRPr="00BB36A5">
        <w:rPr>
          <w:rFonts w:asciiTheme="majorHAnsi" w:hAnsiTheme="majorHAnsi" w:cstheme="majorHAnsi"/>
          <w:color w:val="000000" w:themeColor="text1"/>
          <w:lang w:val="es-PR"/>
        </w:rPr>
        <w:t>Las monitorias</w:t>
      </w:r>
      <w:r w:rsidRPr="00BB36A5">
        <w:rPr>
          <w:rFonts w:asciiTheme="majorHAnsi" w:hAnsiTheme="majorHAnsi" w:cstheme="majorHAnsi"/>
          <w:color w:val="000000" w:themeColor="text1"/>
          <w:lang w:val="es-PR"/>
        </w:rPr>
        <w:t xml:space="preserve"> y </w:t>
      </w:r>
      <w:r w:rsidR="00305900" w:rsidRPr="00BB36A5">
        <w:rPr>
          <w:rFonts w:asciiTheme="majorHAnsi" w:hAnsiTheme="majorHAnsi" w:cstheme="majorHAnsi"/>
          <w:color w:val="000000" w:themeColor="text1"/>
          <w:lang w:val="es-PR"/>
        </w:rPr>
        <w:t>la creación</w:t>
      </w:r>
      <w:r w:rsidRPr="00BB36A5">
        <w:rPr>
          <w:rFonts w:asciiTheme="majorHAnsi" w:hAnsiTheme="majorHAnsi" w:cstheme="majorHAnsi"/>
          <w:color w:val="000000" w:themeColor="text1"/>
          <w:lang w:val="es-PR"/>
        </w:rPr>
        <w:t xml:space="preserve"> de controles internos son funciones esenciales del DE</w:t>
      </w:r>
      <w:r w:rsidR="00246131"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A través de este proceso, el </w:t>
      </w:r>
      <w:r w:rsidR="00246131" w:rsidRPr="00BB36A5">
        <w:rPr>
          <w:rFonts w:asciiTheme="majorHAnsi" w:hAnsiTheme="majorHAnsi" w:cstheme="majorHAnsi"/>
          <w:color w:val="000000" w:themeColor="text1"/>
          <w:lang w:val="es-PR"/>
        </w:rPr>
        <w:t>DEPR</w:t>
      </w:r>
      <w:r w:rsidRPr="00BB36A5">
        <w:rPr>
          <w:rFonts w:asciiTheme="majorHAnsi" w:hAnsiTheme="majorHAnsi" w:cstheme="majorHAnsi"/>
          <w:color w:val="000000" w:themeColor="text1"/>
          <w:lang w:val="es-PR"/>
        </w:rPr>
        <w:t xml:space="preserve"> trabaja en colaboración con las escuelas públicas y no públicas proporcionándoles asistencia técnica de alta calidad para la planificación fiscal y programátic</w:t>
      </w:r>
      <w:r w:rsidR="00F86C92" w:rsidRPr="00BB36A5">
        <w:rPr>
          <w:rFonts w:asciiTheme="majorHAnsi" w:hAnsiTheme="majorHAnsi" w:cstheme="majorHAnsi"/>
          <w:color w:val="000000" w:themeColor="text1"/>
          <w:lang w:val="es-PR"/>
        </w:rPr>
        <w:t>a, así como</w:t>
      </w:r>
      <w:r w:rsidRPr="00BB36A5">
        <w:rPr>
          <w:rFonts w:asciiTheme="majorHAnsi" w:hAnsiTheme="majorHAnsi" w:cstheme="majorHAnsi"/>
          <w:color w:val="000000" w:themeColor="text1"/>
          <w:lang w:val="es-PR"/>
        </w:rPr>
        <w:t xml:space="preserve"> la implementación de todos los servicios prestados a estudiantes, maestros y directores, en nombre de sus programas financiados por el gobierno federal. </w:t>
      </w:r>
      <w:r w:rsidR="00F86C92" w:rsidRPr="00BB36A5">
        <w:rPr>
          <w:rFonts w:asciiTheme="majorHAnsi" w:hAnsiTheme="majorHAnsi" w:cstheme="majorHAnsi"/>
          <w:color w:val="000000" w:themeColor="text1"/>
          <w:lang w:val="es-PR"/>
        </w:rPr>
        <w:t xml:space="preserve">El </w:t>
      </w:r>
      <w:r w:rsidRPr="00BB36A5">
        <w:rPr>
          <w:rFonts w:asciiTheme="majorHAnsi" w:hAnsiTheme="majorHAnsi" w:cstheme="majorHAnsi"/>
          <w:color w:val="000000" w:themeColor="text1"/>
          <w:lang w:val="es-PR"/>
        </w:rPr>
        <w:t>DE</w:t>
      </w:r>
      <w:r w:rsidR="00246131" w:rsidRPr="00BB36A5">
        <w:rPr>
          <w:rFonts w:asciiTheme="majorHAnsi" w:hAnsiTheme="majorHAnsi" w:cstheme="majorHAnsi"/>
          <w:color w:val="000000" w:themeColor="text1"/>
          <w:lang w:val="es-PR"/>
        </w:rPr>
        <w:t>PR</w:t>
      </w:r>
      <w:r w:rsidR="00F86C92"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se esfuerza por proporcionar </w:t>
      </w:r>
      <w:proofErr w:type="gramStart"/>
      <w:r w:rsidRPr="00BB36A5">
        <w:rPr>
          <w:rFonts w:asciiTheme="majorHAnsi" w:hAnsiTheme="majorHAnsi" w:cstheme="majorHAnsi"/>
          <w:color w:val="000000" w:themeColor="text1"/>
          <w:lang w:val="es-PR"/>
        </w:rPr>
        <w:t>procesos  efectivos</w:t>
      </w:r>
      <w:proofErr w:type="gramEnd"/>
      <w:r w:rsidRPr="00BB36A5">
        <w:rPr>
          <w:rFonts w:asciiTheme="majorHAnsi" w:hAnsiTheme="majorHAnsi" w:cstheme="majorHAnsi"/>
          <w:color w:val="000000" w:themeColor="text1"/>
          <w:lang w:val="es-PR"/>
        </w:rPr>
        <w:t xml:space="preserve"> y eficientes que demuestren responsabilidad y transparencia con el propósito de mantener la integridad de todos los programas financiados por el gobierno federal. Este documento describe el propósito, la justificación y el proceso utilizados por la Secretaría Auxiliar </w:t>
      </w:r>
      <w:r w:rsidR="00F86C92" w:rsidRPr="00BB36A5">
        <w:rPr>
          <w:rFonts w:asciiTheme="majorHAnsi" w:hAnsiTheme="majorHAnsi" w:cstheme="majorHAnsi"/>
          <w:color w:val="000000" w:themeColor="text1"/>
          <w:lang w:val="es-PR"/>
        </w:rPr>
        <w:t>para</w:t>
      </w:r>
      <w:r w:rsidRPr="00BB36A5">
        <w:rPr>
          <w:rFonts w:asciiTheme="majorHAnsi" w:hAnsiTheme="majorHAnsi" w:cstheme="majorHAnsi"/>
          <w:color w:val="000000" w:themeColor="text1"/>
          <w:lang w:val="es-PR"/>
        </w:rPr>
        <w:t xml:space="preserve"> Asuntos Federales del DE</w:t>
      </w:r>
      <w:r w:rsidR="00246131"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para monitorear el uso de los fondos de</w:t>
      </w:r>
      <w:r w:rsidR="00F86C92" w:rsidRPr="00BB36A5">
        <w:rPr>
          <w:rFonts w:asciiTheme="majorHAnsi" w:hAnsiTheme="majorHAnsi" w:cstheme="majorHAnsi"/>
          <w:color w:val="000000" w:themeColor="text1"/>
          <w:lang w:val="es-PR"/>
        </w:rPr>
        <w:t xml:space="preserve">l </w:t>
      </w:r>
      <w:r w:rsidR="00203D4B" w:rsidRPr="00BB36A5">
        <w:rPr>
          <w:rFonts w:asciiTheme="majorHAnsi" w:hAnsiTheme="majorHAnsi" w:cstheme="majorHAnsi"/>
          <w:color w:val="000000" w:themeColor="text1"/>
          <w:lang w:val="es-PR"/>
        </w:rPr>
        <w:t>p</w:t>
      </w:r>
      <w:r w:rsidR="00F86C92" w:rsidRPr="00BB36A5">
        <w:rPr>
          <w:rFonts w:asciiTheme="majorHAnsi" w:hAnsiTheme="majorHAnsi" w:cstheme="majorHAnsi"/>
          <w:color w:val="000000" w:themeColor="text1"/>
          <w:lang w:val="es-PR"/>
        </w:rPr>
        <w:t xml:space="preserve">rograma </w:t>
      </w:r>
      <w:proofErr w:type="spellStart"/>
      <w:r w:rsidR="00F86C92" w:rsidRPr="00BB36A5">
        <w:rPr>
          <w:rFonts w:asciiTheme="majorHAnsi" w:hAnsiTheme="majorHAnsi" w:cstheme="majorHAnsi"/>
          <w:i/>
          <w:iCs/>
          <w:color w:val="000000" w:themeColor="text1"/>
          <w:lang w:val="es-PR"/>
        </w:rPr>
        <w:t>Restart</w:t>
      </w:r>
      <w:proofErr w:type="spellEnd"/>
      <w:r w:rsidR="00CF1CAE" w:rsidRPr="00BB36A5">
        <w:rPr>
          <w:rFonts w:asciiTheme="majorHAnsi" w:hAnsiTheme="majorHAnsi" w:cstheme="majorHAnsi"/>
          <w:i/>
          <w:iCs/>
          <w:color w:val="000000" w:themeColor="text1"/>
          <w:lang w:val="es-PR"/>
        </w:rPr>
        <w:t xml:space="preserve"> </w:t>
      </w:r>
      <w:r w:rsidR="00CF1CAE" w:rsidRPr="00BB36A5">
        <w:rPr>
          <w:rFonts w:asciiTheme="majorHAnsi" w:hAnsiTheme="majorHAnsi" w:cstheme="majorHAnsi"/>
          <w:color w:val="000000" w:themeColor="text1"/>
          <w:lang w:val="es-PR"/>
        </w:rPr>
        <w:t>en adición a</w:t>
      </w:r>
      <w:r w:rsidRPr="00BB36A5">
        <w:rPr>
          <w:rFonts w:asciiTheme="majorHAnsi" w:hAnsiTheme="majorHAnsi" w:cstheme="majorHAnsi"/>
          <w:color w:val="000000" w:themeColor="text1"/>
          <w:lang w:val="es-PR"/>
        </w:rPr>
        <w:t xml:space="preserve"> los controles internos establecidos para </w:t>
      </w:r>
      <w:r w:rsidR="00CF1CAE" w:rsidRPr="00BB36A5">
        <w:rPr>
          <w:rFonts w:asciiTheme="majorHAnsi" w:hAnsiTheme="majorHAnsi" w:cstheme="majorHAnsi"/>
          <w:color w:val="000000" w:themeColor="text1"/>
          <w:lang w:val="es-PR"/>
        </w:rPr>
        <w:t>facilitar</w:t>
      </w:r>
      <w:r w:rsidRPr="00BB36A5">
        <w:rPr>
          <w:rFonts w:asciiTheme="majorHAnsi" w:hAnsiTheme="majorHAnsi" w:cstheme="majorHAnsi"/>
          <w:color w:val="000000" w:themeColor="text1"/>
          <w:lang w:val="es-PR"/>
        </w:rPr>
        <w:t xml:space="preserve"> que solo las actividades permitidas </w:t>
      </w:r>
      <w:r w:rsidR="00F86C92" w:rsidRPr="00BB36A5">
        <w:rPr>
          <w:rFonts w:asciiTheme="majorHAnsi" w:hAnsiTheme="majorHAnsi" w:cstheme="majorHAnsi"/>
          <w:color w:val="000000" w:themeColor="text1"/>
          <w:lang w:val="es-PR"/>
        </w:rPr>
        <w:t xml:space="preserve">o permisibles </w:t>
      </w:r>
      <w:r w:rsidRPr="00BB36A5">
        <w:rPr>
          <w:rFonts w:asciiTheme="majorHAnsi" w:hAnsiTheme="majorHAnsi" w:cstheme="majorHAnsi"/>
          <w:color w:val="000000" w:themeColor="text1"/>
          <w:lang w:val="es-PR"/>
        </w:rPr>
        <w:t xml:space="preserve">se lleven a cabo con esta </w:t>
      </w:r>
      <w:r w:rsidR="00F86C92"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ubvención</w:t>
      </w:r>
      <w:r w:rsidR="00F86C92" w:rsidRPr="00BB36A5">
        <w:rPr>
          <w:rFonts w:asciiTheme="majorHAnsi" w:hAnsiTheme="majorHAnsi" w:cstheme="majorHAnsi"/>
          <w:color w:val="000000" w:themeColor="text1"/>
          <w:lang w:val="es-PR"/>
        </w:rPr>
        <w:t xml:space="preserve"> u otorgación de fondos</w:t>
      </w:r>
      <w:r w:rsidRPr="00BB36A5">
        <w:rPr>
          <w:rFonts w:asciiTheme="majorHAnsi" w:hAnsiTheme="majorHAnsi" w:cstheme="majorHAnsi"/>
          <w:color w:val="000000" w:themeColor="text1"/>
          <w:lang w:val="es-PR"/>
        </w:rPr>
        <w:t>.</w:t>
      </w:r>
    </w:p>
    <w:p w14:paraId="59E2BDBB" w14:textId="77777777" w:rsidR="004F6423" w:rsidRPr="00BB36A5" w:rsidRDefault="004F6423" w:rsidP="004C12EC">
      <w:pPr>
        <w:pStyle w:val="Default"/>
        <w:spacing w:after="9"/>
        <w:jc w:val="both"/>
        <w:rPr>
          <w:rFonts w:asciiTheme="majorHAnsi" w:hAnsiTheme="majorHAnsi" w:cstheme="majorHAnsi"/>
          <w:color w:val="000000" w:themeColor="text1"/>
          <w:lang w:val="es-PR"/>
        </w:rPr>
      </w:pPr>
    </w:p>
    <w:p w14:paraId="0A78DF05" w14:textId="5009F7D1" w:rsidR="005D240F" w:rsidRPr="00BB36A5" w:rsidRDefault="00246131" w:rsidP="004C12EC">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En marzo de 2018, el DEPR presentó una solicitud al Departamento de Educación de los Estados Unidos (USDE) que buscaba participar en el programa de Ayuda Inmediata para Reiniciar las Operaciones Escolares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 xml:space="preserve"> proporciona fondos para ayudar a los administradores, directores y al personal de la escuela a reiniciar las operaciones escolares, reabrir las escuelas y volver a matricular a los estudiantes. Después de una evaluación apropiada, el USDE otorgó a DEPR fondos por un monto de $589.17 Millones. Con estos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el DEPR </w:t>
      </w:r>
      <w:r w:rsidR="00203D4B" w:rsidRPr="00BB36A5">
        <w:rPr>
          <w:rFonts w:asciiTheme="majorHAnsi" w:hAnsiTheme="majorHAnsi" w:cstheme="majorHAnsi"/>
          <w:color w:val="000000" w:themeColor="text1"/>
          <w:lang w:val="es-PR"/>
        </w:rPr>
        <w:t>ha tenido</w:t>
      </w:r>
      <w:r w:rsidRPr="00BB36A5">
        <w:rPr>
          <w:rFonts w:asciiTheme="majorHAnsi" w:hAnsiTheme="majorHAnsi" w:cstheme="majorHAnsi"/>
          <w:color w:val="000000" w:themeColor="text1"/>
          <w:lang w:val="es-PR"/>
        </w:rPr>
        <w:t xml:space="preserve"> la oportunidad de reiniciar las operaciones </w:t>
      </w:r>
      <w:r w:rsidR="00203D4B" w:rsidRPr="00BB36A5">
        <w:rPr>
          <w:rFonts w:asciiTheme="majorHAnsi" w:hAnsiTheme="majorHAnsi" w:cstheme="majorHAnsi"/>
          <w:color w:val="000000" w:themeColor="text1"/>
          <w:lang w:val="es-PR"/>
        </w:rPr>
        <w:t>estimulando</w:t>
      </w:r>
      <w:r w:rsidRPr="00BB36A5">
        <w:rPr>
          <w:rFonts w:asciiTheme="majorHAnsi" w:hAnsiTheme="majorHAnsi" w:cstheme="majorHAnsi"/>
          <w:color w:val="000000" w:themeColor="text1"/>
          <w:lang w:val="es-PR"/>
        </w:rPr>
        <w:t>, apoy</w:t>
      </w:r>
      <w:r w:rsidR="00203D4B" w:rsidRPr="00BB36A5">
        <w:rPr>
          <w:rFonts w:asciiTheme="majorHAnsi" w:hAnsiTheme="majorHAnsi" w:cstheme="majorHAnsi"/>
          <w:color w:val="000000" w:themeColor="text1"/>
          <w:lang w:val="es-PR"/>
        </w:rPr>
        <w:t>ando</w:t>
      </w:r>
      <w:r w:rsidRPr="00BB36A5">
        <w:rPr>
          <w:rFonts w:asciiTheme="majorHAnsi" w:hAnsiTheme="majorHAnsi" w:cstheme="majorHAnsi"/>
          <w:color w:val="000000" w:themeColor="text1"/>
          <w:lang w:val="es-PR"/>
        </w:rPr>
        <w:t xml:space="preserve"> y prom</w:t>
      </w:r>
      <w:r w:rsidR="00203D4B" w:rsidRPr="00BB36A5">
        <w:rPr>
          <w:rFonts w:asciiTheme="majorHAnsi" w:hAnsiTheme="majorHAnsi" w:cstheme="majorHAnsi"/>
          <w:color w:val="000000" w:themeColor="text1"/>
          <w:lang w:val="es-PR"/>
        </w:rPr>
        <w:t>oviendo</w:t>
      </w:r>
      <w:r w:rsidRPr="00BB36A5">
        <w:rPr>
          <w:rFonts w:asciiTheme="majorHAnsi" w:hAnsiTheme="majorHAnsi" w:cstheme="majorHAnsi"/>
          <w:color w:val="000000" w:themeColor="text1"/>
          <w:lang w:val="es-PR"/>
        </w:rPr>
        <w:t xml:space="preserve"> los logros académicos en la isla, después de la devastación causada por los huracanes Irma y María.</w:t>
      </w:r>
    </w:p>
    <w:p w14:paraId="43310D05" w14:textId="115ACD6C" w:rsidR="004C12EC" w:rsidRPr="00BB36A5" w:rsidRDefault="004C12EC" w:rsidP="004C12EC">
      <w:pPr>
        <w:pStyle w:val="Default"/>
        <w:spacing w:after="9"/>
        <w:jc w:val="both"/>
        <w:rPr>
          <w:rFonts w:asciiTheme="majorHAnsi" w:hAnsiTheme="majorHAnsi" w:cstheme="majorHAnsi"/>
          <w:color w:val="000000" w:themeColor="text1"/>
          <w:lang w:val="es-PR"/>
        </w:rPr>
      </w:pPr>
    </w:p>
    <w:p w14:paraId="6387624D" w14:textId="77777777" w:rsidR="00246131" w:rsidRPr="00BB36A5" w:rsidRDefault="00246131" w:rsidP="004C12EC">
      <w:pPr>
        <w:pStyle w:val="Default"/>
        <w:spacing w:after="9"/>
        <w:jc w:val="both"/>
        <w:rPr>
          <w:rFonts w:asciiTheme="majorHAnsi" w:hAnsiTheme="majorHAnsi" w:cstheme="majorHAnsi"/>
          <w:color w:val="000000" w:themeColor="text1"/>
          <w:lang w:val="es-PR"/>
        </w:rPr>
      </w:pPr>
    </w:p>
    <w:p w14:paraId="4BCD4D56" w14:textId="1828F477" w:rsidR="00992FB6" w:rsidRPr="00BB36A5" w:rsidRDefault="0073325A" w:rsidP="004C12EC">
      <w:pPr>
        <w:pStyle w:val="Heading1"/>
        <w:spacing w:line="360" w:lineRule="auto"/>
        <w:jc w:val="both"/>
        <w:rPr>
          <w:rFonts w:cstheme="majorHAnsi"/>
          <w:b/>
          <w:sz w:val="24"/>
          <w:szCs w:val="24"/>
          <w:lang w:val="es-PR"/>
        </w:rPr>
      </w:pPr>
      <w:r w:rsidRPr="00BB36A5">
        <w:rPr>
          <w:rFonts w:cstheme="majorHAnsi"/>
          <w:b/>
          <w:sz w:val="24"/>
          <w:szCs w:val="24"/>
          <w:lang w:val="es-PR"/>
        </w:rPr>
        <w:t xml:space="preserve">Descripción General de la Aplicación </w:t>
      </w:r>
      <w:r w:rsidR="00D85B3B" w:rsidRPr="00BB36A5">
        <w:rPr>
          <w:rFonts w:cstheme="majorHAnsi"/>
          <w:b/>
          <w:sz w:val="24"/>
          <w:szCs w:val="24"/>
          <w:lang w:val="es-PR"/>
        </w:rPr>
        <w:t xml:space="preserve">al </w:t>
      </w:r>
      <w:r w:rsidRPr="00BB36A5">
        <w:rPr>
          <w:rFonts w:cstheme="majorHAnsi"/>
          <w:b/>
          <w:sz w:val="24"/>
          <w:szCs w:val="24"/>
          <w:lang w:val="es-PR"/>
        </w:rPr>
        <w:t xml:space="preserve">Programa </w:t>
      </w:r>
      <w:proofErr w:type="spellStart"/>
      <w:r w:rsidRPr="00BB36A5">
        <w:rPr>
          <w:rFonts w:cstheme="majorHAnsi"/>
          <w:b/>
          <w:sz w:val="24"/>
          <w:szCs w:val="24"/>
          <w:lang w:val="es-PR"/>
        </w:rPr>
        <w:t>Restart</w:t>
      </w:r>
      <w:proofErr w:type="spellEnd"/>
    </w:p>
    <w:p w14:paraId="48B5C800" w14:textId="056F5740" w:rsidR="00246131" w:rsidRPr="00BB36A5" w:rsidRDefault="00246131" w:rsidP="4F9E87E5">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Los huracanes </w:t>
      </w:r>
      <w:r w:rsidR="004E335A" w:rsidRPr="00BB36A5">
        <w:rPr>
          <w:rFonts w:asciiTheme="majorHAnsi" w:hAnsiTheme="majorHAnsi" w:cstheme="majorHAnsi"/>
          <w:color w:val="000000" w:themeColor="text1"/>
          <w:lang w:val="es-PR"/>
        </w:rPr>
        <w:t>de</w:t>
      </w:r>
      <w:r w:rsidRPr="00BB36A5">
        <w:rPr>
          <w:rFonts w:asciiTheme="majorHAnsi" w:hAnsiTheme="majorHAnsi" w:cstheme="majorHAnsi"/>
          <w:color w:val="000000" w:themeColor="text1"/>
          <w:lang w:val="es-PR"/>
        </w:rPr>
        <w:t xml:space="preserve"> septiembre de 2017</w:t>
      </w:r>
      <w:r w:rsidR="00D95C28"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w:t>
      </w:r>
      <w:r w:rsidR="00D95C28" w:rsidRPr="00BB36A5">
        <w:rPr>
          <w:rFonts w:asciiTheme="majorHAnsi" w:hAnsiTheme="majorHAnsi" w:cstheme="majorHAnsi"/>
          <w:color w:val="000000" w:themeColor="text1"/>
          <w:lang w:val="es-PR"/>
        </w:rPr>
        <w:t>agravaron</w:t>
      </w:r>
      <w:r w:rsidRPr="00BB36A5">
        <w:rPr>
          <w:rFonts w:asciiTheme="majorHAnsi" w:hAnsiTheme="majorHAnsi" w:cstheme="majorHAnsi"/>
          <w:color w:val="000000" w:themeColor="text1"/>
          <w:lang w:val="es-PR"/>
        </w:rPr>
        <w:t xml:space="preserve"> dramáticamente las condiciones educativas ya </w:t>
      </w:r>
      <w:proofErr w:type="spellStart"/>
      <w:r w:rsidR="00D95C28" w:rsidRPr="00BB36A5">
        <w:rPr>
          <w:rFonts w:asciiTheme="majorHAnsi" w:hAnsiTheme="majorHAnsi" w:cstheme="majorHAnsi"/>
          <w:color w:val="000000" w:themeColor="text1"/>
          <w:lang w:val="es-PR"/>
        </w:rPr>
        <w:t>reta</w:t>
      </w:r>
      <w:r w:rsidR="004E335A" w:rsidRPr="00BB36A5">
        <w:rPr>
          <w:rFonts w:asciiTheme="majorHAnsi" w:hAnsiTheme="majorHAnsi" w:cstheme="majorHAnsi"/>
          <w:color w:val="000000" w:themeColor="text1"/>
          <w:lang w:val="es-PR"/>
        </w:rPr>
        <w:t>ntes</w:t>
      </w:r>
      <w:proofErr w:type="spellEnd"/>
      <w:r w:rsidRPr="00BB36A5">
        <w:rPr>
          <w:rFonts w:asciiTheme="majorHAnsi" w:hAnsiTheme="majorHAnsi" w:cstheme="majorHAnsi"/>
          <w:color w:val="000000" w:themeColor="text1"/>
          <w:lang w:val="es-PR"/>
        </w:rPr>
        <w:t xml:space="preserve"> en Puerto Rico causando </w:t>
      </w:r>
      <w:r w:rsidR="00D95C28" w:rsidRPr="00BB36A5">
        <w:rPr>
          <w:rFonts w:asciiTheme="majorHAnsi" w:hAnsiTheme="majorHAnsi" w:cstheme="majorHAnsi"/>
          <w:color w:val="000000" w:themeColor="text1"/>
          <w:lang w:val="es-PR"/>
        </w:rPr>
        <w:t xml:space="preserve">un </w:t>
      </w:r>
      <w:r w:rsidRPr="00BB36A5">
        <w:rPr>
          <w:rFonts w:asciiTheme="majorHAnsi" w:hAnsiTheme="majorHAnsi" w:cstheme="majorHAnsi"/>
          <w:color w:val="000000" w:themeColor="text1"/>
          <w:lang w:val="es-PR"/>
        </w:rPr>
        <w:t xml:space="preserve">desgaste </w:t>
      </w:r>
      <w:r w:rsidR="00D95C28" w:rsidRPr="00BB36A5">
        <w:rPr>
          <w:rFonts w:asciiTheme="majorHAnsi" w:hAnsiTheme="majorHAnsi" w:cstheme="majorHAnsi"/>
          <w:color w:val="000000" w:themeColor="text1"/>
          <w:lang w:val="es-PR"/>
        </w:rPr>
        <w:t>en los</w:t>
      </w:r>
      <w:r w:rsidRPr="00BB36A5">
        <w:rPr>
          <w:rFonts w:asciiTheme="majorHAnsi" w:hAnsiTheme="majorHAnsi" w:cstheme="majorHAnsi"/>
          <w:color w:val="000000" w:themeColor="text1"/>
          <w:lang w:val="es-PR"/>
        </w:rPr>
        <w:t xml:space="preserve"> estudiantes y maestros, pérdida significativa de tiempo escolar por parte de los estudiantes y daños a la infraestructura física, recursos educativos, equipo y suministros </w:t>
      </w:r>
      <w:r w:rsidR="00F00BBD" w:rsidRPr="00BB36A5">
        <w:rPr>
          <w:rFonts w:asciiTheme="majorHAnsi" w:hAnsiTheme="majorHAnsi" w:cstheme="majorHAnsi"/>
          <w:color w:val="000000" w:themeColor="text1"/>
          <w:lang w:val="es-PR"/>
        </w:rPr>
        <w:t>d</w:t>
      </w:r>
      <w:r w:rsidRPr="00BB36A5">
        <w:rPr>
          <w:rFonts w:asciiTheme="majorHAnsi" w:hAnsiTheme="majorHAnsi" w:cstheme="majorHAnsi"/>
          <w:color w:val="000000" w:themeColor="text1"/>
          <w:lang w:val="es-PR"/>
        </w:rPr>
        <w:t xml:space="preserve">el sistema. Para </w:t>
      </w:r>
      <w:r w:rsidR="00F00BBD" w:rsidRPr="00BB36A5">
        <w:rPr>
          <w:rFonts w:asciiTheme="majorHAnsi" w:hAnsiTheme="majorHAnsi" w:cstheme="majorHAnsi"/>
          <w:color w:val="000000" w:themeColor="text1"/>
          <w:lang w:val="es-PR"/>
        </w:rPr>
        <w:t>abordar los retos</w:t>
      </w:r>
      <w:r w:rsidRPr="00BB36A5">
        <w:rPr>
          <w:rFonts w:asciiTheme="majorHAnsi" w:hAnsiTheme="majorHAnsi" w:cstheme="majorHAnsi"/>
          <w:color w:val="000000" w:themeColor="text1"/>
          <w:lang w:val="es-PR"/>
        </w:rPr>
        <w:t xml:space="preserve"> creados por los huracanes, el USDE lanzó 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entre otros, con el fin de otorgar fondos a escuelas y sistemas afectados por desastres. Reconociendo la tremenda necesidad que enfrenta Puerto Rico, </w:t>
      </w:r>
      <w:r w:rsidR="00F00BBD" w:rsidRPr="00BB36A5">
        <w:rPr>
          <w:rFonts w:asciiTheme="majorHAnsi" w:hAnsiTheme="majorHAnsi" w:cstheme="majorHAnsi"/>
          <w:color w:val="000000" w:themeColor="text1"/>
          <w:lang w:val="es-PR"/>
        </w:rPr>
        <w:t xml:space="preserve">al </w:t>
      </w:r>
      <w:r w:rsidRPr="00BB36A5">
        <w:rPr>
          <w:rFonts w:asciiTheme="majorHAnsi" w:hAnsiTheme="majorHAnsi" w:cstheme="majorHAnsi"/>
          <w:color w:val="000000" w:themeColor="text1"/>
          <w:lang w:val="es-PR"/>
        </w:rPr>
        <w:t>DE</w:t>
      </w:r>
      <w:r w:rsidR="00F00BBD"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w:t>
      </w:r>
      <w:r w:rsidR="00F00BBD" w:rsidRPr="00BB36A5">
        <w:rPr>
          <w:rFonts w:asciiTheme="majorHAnsi" w:hAnsiTheme="majorHAnsi" w:cstheme="majorHAnsi"/>
          <w:color w:val="000000" w:themeColor="text1"/>
          <w:lang w:val="es-PR"/>
        </w:rPr>
        <w:t xml:space="preserve">le </w:t>
      </w:r>
      <w:r w:rsidRPr="00BB36A5">
        <w:rPr>
          <w:rFonts w:asciiTheme="majorHAnsi" w:hAnsiTheme="majorHAnsi" w:cstheme="majorHAnsi"/>
          <w:color w:val="000000" w:themeColor="text1"/>
          <w:lang w:val="es-PR"/>
        </w:rPr>
        <w:t>fue</w:t>
      </w:r>
      <w:r w:rsidR="00F00BBD" w:rsidRPr="00BB36A5">
        <w:rPr>
          <w:rFonts w:asciiTheme="majorHAnsi" w:hAnsiTheme="majorHAnsi" w:cstheme="majorHAnsi"/>
          <w:color w:val="000000" w:themeColor="text1"/>
          <w:lang w:val="es-PR"/>
        </w:rPr>
        <w:t xml:space="preserve"> otorgado</w:t>
      </w:r>
      <w:r w:rsidRPr="00BB36A5">
        <w:rPr>
          <w:rFonts w:asciiTheme="majorHAnsi" w:hAnsiTheme="majorHAnsi" w:cstheme="majorHAnsi"/>
          <w:color w:val="000000" w:themeColor="text1"/>
          <w:lang w:val="es-PR"/>
        </w:rPr>
        <w:t xml:space="preserve"> fondos </w:t>
      </w:r>
      <w:proofErr w:type="spellStart"/>
      <w:r w:rsidR="00F00BBD"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en la primavera de</w:t>
      </w:r>
      <w:r w:rsidR="00F00BBD"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2018 para </w:t>
      </w:r>
      <w:r w:rsidR="00F00BBD" w:rsidRPr="00BB36A5">
        <w:rPr>
          <w:rFonts w:asciiTheme="majorHAnsi" w:hAnsiTheme="majorHAnsi" w:cstheme="majorHAnsi"/>
          <w:color w:val="000000" w:themeColor="text1"/>
          <w:lang w:val="es-PR"/>
        </w:rPr>
        <w:t xml:space="preserve">poder </w:t>
      </w:r>
      <w:r w:rsidRPr="00BB36A5">
        <w:rPr>
          <w:rFonts w:asciiTheme="majorHAnsi" w:hAnsiTheme="majorHAnsi" w:cstheme="majorHAnsi"/>
          <w:color w:val="000000" w:themeColor="text1"/>
          <w:lang w:val="es-PR"/>
        </w:rPr>
        <w:t>reiniciar las operaciones escolares, como se mencionó anteriormente.</w:t>
      </w:r>
    </w:p>
    <w:p w14:paraId="1951B47B" w14:textId="6E85869B" w:rsidR="00F00BBD" w:rsidRPr="00BB36A5" w:rsidRDefault="00F00BBD" w:rsidP="4F9E87E5">
      <w:pPr>
        <w:pStyle w:val="Default"/>
        <w:spacing w:after="9"/>
        <w:jc w:val="both"/>
        <w:rPr>
          <w:rFonts w:asciiTheme="majorHAnsi" w:hAnsiTheme="majorHAnsi" w:cstheme="majorHAnsi"/>
          <w:color w:val="000000" w:themeColor="text1"/>
          <w:lang w:val="es-PR"/>
        </w:rPr>
      </w:pPr>
    </w:p>
    <w:p w14:paraId="46EF45B7" w14:textId="3A4B826E" w:rsidR="00F00BBD" w:rsidRPr="00BB36A5" w:rsidRDefault="00F00BBD" w:rsidP="002F6BDA">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DEPR es consciente y no tiene la intención de utilizar los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para cualquier gasto cubierto por otra fuente de fondos disponible. El DEPR está trabajando diligentemente con sus asociados federales </w:t>
      </w:r>
      <w:r w:rsidRPr="00BB36A5">
        <w:rPr>
          <w:rFonts w:asciiTheme="majorHAnsi" w:hAnsiTheme="majorHAnsi" w:cstheme="majorHAnsi"/>
          <w:color w:val="000000" w:themeColor="text1"/>
          <w:lang w:val="es-PR"/>
        </w:rPr>
        <w:lastRenderedPageBreak/>
        <w:t>y estatales para utilizar no sólo los ingresos de seguros comerciales, sino también los otros programas federales de</w:t>
      </w:r>
      <w:r w:rsidR="0084631E"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subvenciones por desastre que están destinados a financiar la reconstrucción de nuestros edificios y recursos. Entendemos muy claramente que estos fondos deben utilizarse para complementar y no suplantar a ninguna otra fuente de f</w:t>
      </w:r>
      <w:r w:rsidR="0084631E" w:rsidRPr="00BB36A5">
        <w:rPr>
          <w:rFonts w:asciiTheme="majorHAnsi" w:hAnsiTheme="majorHAnsi" w:cstheme="majorHAnsi"/>
          <w:color w:val="000000" w:themeColor="text1"/>
          <w:lang w:val="es-PR"/>
        </w:rPr>
        <w:t>ondos o subvención</w:t>
      </w:r>
      <w:r w:rsidRPr="00BB36A5">
        <w:rPr>
          <w:rFonts w:asciiTheme="majorHAnsi" w:hAnsiTheme="majorHAnsi" w:cstheme="majorHAnsi"/>
          <w:color w:val="000000" w:themeColor="text1"/>
          <w:lang w:val="es-PR"/>
        </w:rPr>
        <w:t xml:space="preserve">. </w:t>
      </w:r>
      <w:r w:rsidR="0084631E" w:rsidRPr="00BB36A5">
        <w:rPr>
          <w:rFonts w:asciiTheme="majorHAnsi" w:hAnsiTheme="majorHAnsi" w:cstheme="majorHAnsi"/>
          <w:color w:val="000000" w:themeColor="text1"/>
          <w:lang w:val="es-PR"/>
        </w:rPr>
        <w:t>Consecuentemente</w:t>
      </w:r>
      <w:r w:rsidRPr="00BB36A5">
        <w:rPr>
          <w:rFonts w:asciiTheme="majorHAnsi" w:hAnsiTheme="majorHAnsi" w:cstheme="majorHAnsi"/>
          <w:color w:val="000000" w:themeColor="text1"/>
          <w:lang w:val="es-PR"/>
        </w:rPr>
        <w:t>, los esfuerzos se están coordinando con la Oficina del Secretario de Educación para asegurar que los fondos de otros programas federales y/o seguros no se están utilizando para las mismas iniciativas. Además, todos los fondos se utilizarán para propósitos de</w:t>
      </w:r>
      <w:r w:rsidR="0084631E" w:rsidRPr="00BB36A5">
        <w:rPr>
          <w:rFonts w:asciiTheme="majorHAnsi" w:hAnsiTheme="majorHAnsi" w:cstheme="majorHAnsi"/>
          <w:color w:val="000000" w:themeColor="text1"/>
          <w:lang w:val="es-PR"/>
        </w:rPr>
        <w:t>l programa</w:t>
      </w:r>
      <w:r w:rsidRPr="00BB36A5">
        <w:rPr>
          <w:rFonts w:asciiTheme="majorHAnsi" w:hAnsiTheme="majorHAnsi" w:cstheme="majorHAnsi"/>
          <w:color w:val="000000" w:themeColor="text1"/>
          <w:lang w:val="es-PR"/>
        </w:rPr>
        <w:t xml:space="preserve"> </w:t>
      </w:r>
      <w:proofErr w:type="spellStart"/>
      <w:r w:rsidRPr="00BB36A5">
        <w:rPr>
          <w:rFonts w:asciiTheme="majorHAnsi" w:hAnsiTheme="majorHAnsi" w:cstheme="majorHAnsi"/>
          <w:i/>
          <w:iCs/>
          <w:color w:val="000000" w:themeColor="text1"/>
          <w:lang w:val="es-PR"/>
        </w:rPr>
        <w:t>Re</w:t>
      </w:r>
      <w:r w:rsidR="0084631E" w:rsidRPr="00BB36A5">
        <w:rPr>
          <w:rFonts w:asciiTheme="majorHAnsi" w:hAnsiTheme="majorHAnsi" w:cstheme="majorHAnsi"/>
          <w:i/>
          <w:iCs/>
          <w:color w:val="000000" w:themeColor="text1"/>
          <w:lang w:val="es-PR"/>
        </w:rPr>
        <w:t>start</w:t>
      </w:r>
      <w:proofErr w:type="spellEnd"/>
      <w:r w:rsidR="0084631E" w:rsidRPr="00BB36A5">
        <w:rPr>
          <w:rFonts w:asciiTheme="majorHAnsi" w:hAnsiTheme="majorHAnsi" w:cstheme="majorHAnsi"/>
          <w:i/>
          <w:iCs/>
          <w:color w:val="000000" w:themeColor="text1"/>
          <w:lang w:val="es-PR"/>
        </w:rPr>
        <w:t>,</w:t>
      </w:r>
      <w:r w:rsidR="0084631E" w:rsidRPr="00BB36A5">
        <w:rPr>
          <w:rFonts w:asciiTheme="majorHAnsi" w:hAnsiTheme="majorHAnsi" w:cstheme="majorHAnsi"/>
          <w:color w:val="000000" w:themeColor="text1"/>
          <w:lang w:val="es-PR"/>
        </w:rPr>
        <w:t xml:space="preserve"> los cuales son</w:t>
      </w:r>
      <w:r w:rsidRPr="00BB36A5">
        <w:rPr>
          <w:rFonts w:asciiTheme="majorHAnsi" w:hAnsiTheme="majorHAnsi" w:cstheme="majorHAnsi"/>
          <w:color w:val="000000" w:themeColor="text1"/>
          <w:lang w:val="es-PR"/>
        </w:rPr>
        <w:t xml:space="preserve"> permitidos para proporcionar servicios o asistencia a escuelas públicas y privadas elegibles en Puerto Rico como se describe en el </w:t>
      </w:r>
      <w:proofErr w:type="spellStart"/>
      <w:r w:rsidR="00971ADA" w:rsidRPr="00BB36A5">
        <w:rPr>
          <w:rFonts w:asciiTheme="majorHAnsi" w:hAnsiTheme="majorHAnsi" w:cstheme="majorHAnsi"/>
          <w:i/>
          <w:iCs/>
          <w:color w:val="000000" w:themeColor="text1"/>
          <w:lang w:val="es-PR"/>
        </w:rPr>
        <w:t>Restart</w:t>
      </w:r>
      <w:proofErr w:type="spellEnd"/>
      <w:r w:rsidR="00971ADA" w:rsidRPr="00BB36A5">
        <w:rPr>
          <w:rFonts w:asciiTheme="majorHAnsi" w:hAnsiTheme="majorHAnsi" w:cstheme="majorHAnsi"/>
          <w:i/>
          <w:iCs/>
          <w:color w:val="000000" w:themeColor="text1"/>
          <w:lang w:val="es-PR"/>
        </w:rPr>
        <w:t xml:space="preserve"> </w:t>
      </w:r>
      <w:proofErr w:type="spellStart"/>
      <w:r w:rsidR="00971ADA" w:rsidRPr="00BB36A5">
        <w:rPr>
          <w:rFonts w:asciiTheme="majorHAnsi" w:hAnsiTheme="majorHAnsi" w:cstheme="majorHAnsi"/>
          <w:i/>
          <w:iCs/>
          <w:color w:val="000000" w:themeColor="text1"/>
          <w:lang w:val="es-PR"/>
        </w:rPr>
        <w:t>Funding</w:t>
      </w:r>
      <w:proofErr w:type="spellEnd"/>
      <w:r w:rsidR="00971ADA" w:rsidRPr="00BB36A5">
        <w:rPr>
          <w:rFonts w:asciiTheme="majorHAnsi" w:hAnsiTheme="majorHAnsi" w:cstheme="majorHAnsi"/>
          <w:i/>
          <w:iCs/>
          <w:color w:val="000000" w:themeColor="text1"/>
          <w:lang w:val="es-PR"/>
        </w:rPr>
        <w:t xml:space="preserve"> </w:t>
      </w:r>
      <w:proofErr w:type="gramStart"/>
      <w:r w:rsidR="00971ADA" w:rsidRPr="00BB36A5">
        <w:rPr>
          <w:rFonts w:asciiTheme="majorHAnsi" w:hAnsiTheme="majorHAnsi" w:cstheme="majorHAnsi"/>
          <w:i/>
          <w:iCs/>
          <w:color w:val="000000" w:themeColor="text1"/>
          <w:lang w:val="es-PR"/>
        </w:rPr>
        <w:t xml:space="preserve">Plan </w:t>
      </w:r>
      <w:r w:rsidRPr="00BB36A5">
        <w:rPr>
          <w:rFonts w:asciiTheme="majorHAnsi" w:hAnsiTheme="majorHAnsi" w:cstheme="majorHAnsi"/>
          <w:color w:val="000000" w:themeColor="text1"/>
          <w:lang w:val="es-PR"/>
        </w:rPr>
        <w:t xml:space="preserve"> </w:t>
      </w:r>
      <w:r w:rsidR="00971ADA" w:rsidRPr="00BB36A5">
        <w:rPr>
          <w:rFonts w:asciiTheme="majorHAnsi" w:hAnsiTheme="majorHAnsi" w:cstheme="majorHAnsi"/>
          <w:color w:val="000000" w:themeColor="text1"/>
          <w:lang w:val="es-PR"/>
        </w:rPr>
        <w:t>del</w:t>
      </w:r>
      <w:proofErr w:type="gramEnd"/>
      <w:r w:rsidR="00971ADA" w:rsidRPr="00BB36A5">
        <w:rPr>
          <w:rFonts w:asciiTheme="majorHAnsi" w:hAnsiTheme="majorHAnsi" w:cstheme="majorHAnsi"/>
          <w:color w:val="000000" w:themeColor="text1"/>
          <w:lang w:val="es-PR"/>
        </w:rPr>
        <w:t xml:space="preserve"> DEPR</w:t>
      </w:r>
      <w:r w:rsidRPr="00BB36A5">
        <w:rPr>
          <w:rFonts w:asciiTheme="majorHAnsi" w:hAnsiTheme="majorHAnsi" w:cstheme="majorHAnsi"/>
          <w:color w:val="000000" w:themeColor="text1"/>
          <w:lang w:val="es-PR"/>
        </w:rPr>
        <w:t>(aproba</w:t>
      </w:r>
      <w:r w:rsidR="00971ADA" w:rsidRPr="00BB36A5">
        <w:rPr>
          <w:rFonts w:asciiTheme="majorHAnsi" w:hAnsiTheme="majorHAnsi" w:cstheme="majorHAnsi"/>
          <w:color w:val="000000" w:themeColor="text1"/>
          <w:lang w:val="es-PR"/>
        </w:rPr>
        <w:t>do</w:t>
      </w:r>
      <w:r w:rsidRPr="00BB36A5">
        <w:rPr>
          <w:rFonts w:asciiTheme="majorHAnsi" w:hAnsiTheme="majorHAnsi" w:cstheme="majorHAnsi"/>
          <w:color w:val="000000" w:themeColor="text1"/>
          <w:lang w:val="es-PR"/>
        </w:rPr>
        <w:t xml:space="preserve"> </w:t>
      </w:r>
      <w:proofErr w:type="spellStart"/>
      <w:r w:rsidR="00971ADA" w:rsidRPr="00BB36A5">
        <w:rPr>
          <w:rFonts w:asciiTheme="majorHAnsi" w:hAnsiTheme="majorHAnsi" w:cstheme="majorHAnsi"/>
          <w:color w:val="000000" w:themeColor="text1"/>
          <w:lang w:val="es-PR"/>
        </w:rPr>
        <w:t>por</w:t>
      </w:r>
      <w:r w:rsidRPr="00BB36A5">
        <w:rPr>
          <w:rFonts w:asciiTheme="majorHAnsi" w:hAnsiTheme="majorHAnsi" w:cstheme="majorHAnsi"/>
          <w:color w:val="000000" w:themeColor="text1"/>
          <w:lang w:val="es-PR"/>
        </w:rPr>
        <w:t>e</w:t>
      </w:r>
      <w:r w:rsidR="0084631E" w:rsidRPr="00BB36A5">
        <w:rPr>
          <w:rFonts w:asciiTheme="majorHAnsi" w:hAnsiTheme="majorHAnsi" w:cstheme="majorHAnsi"/>
          <w:color w:val="000000" w:themeColor="text1"/>
          <w:lang w:val="es-PR"/>
        </w:rPr>
        <w:t>l</w:t>
      </w:r>
      <w:proofErr w:type="spellEnd"/>
      <w:r w:rsidRPr="00BB36A5">
        <w:rPr>
          <w:rFonts w:asciiTheme="majorHAnsi" w:hAnsiTheme="majorHAnsi" w:cstheme="majorHAnsi"/>
          <w:color w:val="000000" w:themeColor="text1"/>
          <w:lang w:val="es-PR"/>
        </w:rPr>
        <w:t xml:space="preserve"> USDE).</w:t>
      </w:r>
    </w:p>
    <w:p w14:paraId="45FDF5AF" w14:textId="77777777" w:rsidR="00F00BBD" w:rsidRPr="00BB36A5" w:rsidRDefault="00F00BBD" w:rsidP="002F6BDA">
      <w:pPr>
        <w:pStyle w:val="Default"/>
        <w:spacing w:after="9"/>
        <w:jc w:val="both"/>
        <w:rPr>
          <w:rFonts w:asciiTheme="majorHAnsi" w:hAnsiTheme="majorHAnsi" w:cstheme="majorHAnsi"/>
          <w:color w:val="000000" w:themeColor="text1"/>
          <w:lang w:val="es-PR"/>
        </w:rPr>
      </w:pPr>
    </w:p>
    <w:p w14:paraId="319AA6A8" w14:textId="77777777" w:rsidR="00026912" w:rsidRPr="00BB36A5" w:rsidRDefault="00026912" w:rsidP="002F6BDA">
      <w:pPr>
        <w:pStyle w:val="Default"/>
        <w:spacing w:after="9"/>
        <w:jc w:val="both"/>
        <w:rPr>
          <w:rFonts w:asciiTheme="majorHAnsi" w:hAnsiTheme="majorHAnsi" w:cstheme="majorHAnsi"/>
          <w:color w:val="000000" w:themeColor="text1"/>
          <w:lang w:val="es-PR"/>
        </w:rPr>
      </w:pPr>
    </w:p>
    <w:p w14:paraId="14F84C2E" w14:textId="366A5C43" w:rsidR="00992FB6" w:rsidRPr="00BB36A5" w:rsidRDefault="00223B26" w:rsidP="00992FB6">
      <w:pPr>
        <w:pStyle w:val="Heading1"/>
        <w:spacing w:line="360" w:lineRule="auto"/>
        <w:jc w:val="both"/>
        <w:rPr>
          <w:rFonts w:cstheme="majorHAnsi"/>
          <w:b/>
          <w:i/>
          <w:iCs/>
          <w:sz w:val="24"/>
          <w:szCs w:val="24"/>
          <w:lang w:val="es-PR"/>
        </w:rPr>
      </w:pPr>
      <w:r w:rsidRPr="00BB36A5">
        <w:rPr>
          <w:rFonts w:cstheme="majorHAnsi"/>
          <w:b/>
          <w:sz w:val="24"/>
          <w:szCs w:val="24"/>
          <w:lang w:val="es-PR"/>
        </w:rPr>
        <w:t xml:space="preserve">Utilización de Fondos y Subvención del Programa </w:t>
      </w:r>
      <w:proofErr w:type="spellStart"/>
      <w:r w:rsidR="00992FB6" w:rsidRPr="00BB36A5">
        <w:rPr>
          <w:rFonts w:cstheme="majorHAnsi"/>
          <w:b/>
          <w:i/>
          <w:iCs/>
          <w:sz w:val="24"/>
          <w:szCs w:val="24"/>
          <w:lang w:val="es-PR"/>
        </w:rPr>
        <w:t>Restart</w:t>
      </w:r>
      <w:proofErr w:type="spellEnd"/>
    </w:p>
    <w:p w14:paraId="26EF9322" w14:textId="77777777" w:rsidR="0084631E" w:rsidRPr="00BB36A5" w:rsidRDefault="0084631E" w:rsidP="4F9E87E5">
      <w:pPr>
        <w:pStyle w:val="Default"/>
        <w:spacing w:after="9"/>
        <w:jc w:val="both"/>
        <w:rPr>
          <w:rFonts w:asciiTheme="majorHAnsi" w:hAnsiTheme="majorHAnsi" w:cstheme="majorHAnsi"/>
          <w:color w:val="000000" w:themeColor="text1"/>
          <w:lang w:val="es-PR"/>
        </w:rPr>
      </w:pPr>
    </w:p>
    <w:p w14:paraId="599FF03F" w14:textId="1011E3FD" w:rsidR="0084631E" w:rsidRPr="00BB36A5" w:rsidRDefault="0084631E" w:rsidP="4F9E87E5">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DEPR es un sistema unitario que sirve</w:t>
      </w:r>
      <w:r w:rsidR="00971ADA" w:rsidRPr="00BB36A5">
        <w:rPr>
          <w:rFonts w:asciiTheme="majorHAnsi" w:hAnsiTheme="majorHAnsi" w:cstheme="majorHAnsi"/>
          <w:color w:val="000000" w:themeColor="text1"/>
          <w:lang w:val="es-PR"/>
        </w:rPr>
        <w:t xml:space="preserve"> al mismo tiempo</w:t>
      </w:r>
      <w:r w:rsidRPr="00BB36A5">
        <w:rPr>
          <w:rFonts w:asciiTheme="majorHAnsi" w:hAnsiTheme="majorHAnsi" w:cstheme="majorHAnsi"/>
          <w:color w:val="000000" w:themeColor="text1"/>
          <w:lang w:val="es-PR"/>
        </w:rPr>
        <w:t xml:space="preserve"> como</w:t>
      </w:r>
      <w:r w:rsidR="00342BBB" w:rsidRPr="00BB36A5">
        <w:rPr>
          <w:rFonts w:asciiTheme="majorHAnsi" w:hAnsiTheme="majorHAnsi" w:cstheme="majorHAnsi"/>
          <w:color w:val="000000" w:themeColor="text1"/>
          <w:lang w:val="es-PR"/>
        </w:rPr>
        <w:t xml:space="preserve"> una</w:t>
      </w:r>
      <w:r w:rsidRPr="00BB36A5">
        <w:rPr>
          <w:rFonts w:asciiTheme="majorHAnsi" w:hAnsiTheme="majorHAnsi" w:cstheme="majorHAnsi"/>
          <w:color w:val="000000" w:themeColor="text1"/>
          <w:lang w:val="es-PR"/>
        </w:rPr>
        <w:t xml:space="preserve"> agencia educativa estatal (SEA) y una agencia educativa local (LEA), lo que significa que el DEPR </w:t>
      </w:r>
      <w:proofErr w:type="spellStart"/>
      <w:r w:rsidR="00342BBB" w:rsidRPr="00BB36A5">
        <w:rPr>
          <w:rFonts w:asciiTheme="majorHAnsi" w:hAnsiTheme="majorHAnsi" w:cstheme="majorHAnsi"/>
          <w:color w:val="000000" w:themeColor="text1"/>
          <w:lang w:val="es-PR"/>
        </w:rPr>
        <w:t>es</w:t>
      </w:r>
      <w:r w:rsidRPr="00BB36A5">
        <w:rPr>
          <w:rFonts w:asciiTheme="majorHAnsi" w:hAnsiTheme="majorHAnsi" w:cstheme="majorHAnsi"/>
          <w:color w:val="000000" w:themeColor="text1"/>
          <w:lang w:val="es-PR"/>
        </w:rPr>
        <w:t>un</w:t>
      </w:r>
      <w:proofErr w:type="spellEnd"/>
      <w:r w:rsidRPr="00BB36A5">
        <w:rPr>
          <w:rFonts w:asciiTheme="majorHAnsi" w:hAnsiTheme="majorHAnsi" w:cstheme="majorHAnsi"/>
          <w:color w:val="000000" w:themeColor="text1"/>
          <w:lang w:val="es-PR"/>
        </w:rPr>
        <w:t xml:space="preserve"> sistema educativo </w:t>
      </w:r>
      <w:r w:rsidR="00342BBB" w:rsidRPr="00BB36A5">
        <w:rPr>
          <w:rFonts w:asciiTheme="majorHAnsi" w:hAnsiTheme="majorHAnsi" w:cstheme="majorHAnsi"/>
          <w:color w:val="000000" w:themeColor="text1"/>
          <w:lang w:val="es-PR"/>
        </w:rPr>
        <w:t>que trabaja en función para</w:t>
      </w:r>
      <w:r w:rsidRPr="00BB36A5">
        <w:rPr>
          <w:rFonts w:asciiTheme="majorHAnsi" w:hAnsiTheme="majorHAnsi" w:cstheme="majorHAnsi"/>
          <w:color w:val="000000" w:themeColor="text1"/>
          <w:lang w:val="es-PR"/>
        </w:rPr>
        <w:t xml:space="preserve"> toda la isla. Desde la perspectiva de la SEA, el Nivel Central del DEPR </w:t>
      </w:r>
      <w:r w:rsidR="00342BBB" w:rsidRPr="00BB36A5">
        <w:rPr>
          <w:rFonts w:asciiTheme="majorHAnsi" w:hAnsiTheme="majorHAnsi" w:cstheme="majorHAnsi"/>
          <w:color w:val="000000" w:themeColor="text1"/>
          <w:lang w:val="es-PR"/>
        </w:rPr>
        <w:t xml:space="preserve">se encarga de </w:t>
      </w:r>
      <w:r w:rsidRPr="00BB36A5">
        <w:rPr>
          <w:rFonts w:asciiTheme="majorHAnsi" w:hAnsiTheme="majorHAnsi" w:cstheme="majorHAnsi"/>
          <w:color w:val="000000" w:themeColor="text1"/>
          <w:lang w:val="es-PR"/>
        </w:rPr>
        <w:t>desarrolla</w:t>
      </w:r>
      <w:r w:rsidR="00342BBB" w:rsidRPr="00BB36A5">
        <w:rPr>
          <w:rFonts w:asciiTheme="majorHAnsi" w:hAnsiTheme="majorHAnsi" w:cstheme="majorHAnsi"/>
          <w:color w:val="000000" w:themeColor="text1"/>
          <w:lang w:val="es-PR"/>
        </w:rPr>
        <w:t>r</w:t>
      </w:r>
      <w:r w:rsidRPr="00BB36A5">
        <w:rPr>
          <w:rFonts w:asciiTheme="majorHAnsi" w:hAnsiTheme="majorHAnsi" w:cstheme="majorHAnsi"/>
          <w:color w:val="000000" w:themeColor="text1"/>
          <w:lang w:val="es-PR"/>
        </w:rPr>
        <w:t xml:space="preserve"> políticas y directrices, proporciona</w:t>
      </w:r>
      <w:r w:rsidR="00342BBB" w:rsidRPr="00BB36A5">
        <w:rPr>
          <w:rFonts w:asciiTheme="majorHAnsi" w:hAnsiTheme="majorHAnsi" w:cstheme="majorHAnsi"/>
          <w:color w:val="000000" w:themeColor="text1"/>
          <w:lang w:val="es-PR"/>
        </w:rPr>
        <w:t>r</w:t>
      </w:r>
      <w:r w:rsidRPr="00BB36A5">
        <w:rPr>
          <w:rFonts w:asciiTheme="majorHAnsi" w:hAnsiTheme="majorHAnsi" w:cstheme="majorHAnsi"/>
          <w:color w:val="000000" w:themeColor="text1"/>
          <w:lang w:val="es-PR"/>
        </w:rPr>
        <w:t xml:space="preserve"> materiales y asistencia técnica, </w:t>
      </w:r>
      <w:r w:rsidR="00CF4666" w:rsidRPr="00BB36A5">
        <w:rPr>
          <w:rFonts w:asciiTheme="majorHAnsi" w:hAnsiTheme="majorHAnsi" w:cstheme="majorHAnsi"/>
          <w:color w:val="000000" w:themeColor="text1"/>
          <w:lang w:val="es-PR"/>
        </w:rPr>
        <w:t>supervisa</w:t>
      </w:r>
      <w:r w:rsidRPr="00BB36A5">
        <w:rPr>
          <w:rFonts w:asciiTheme="majorHAnsi" w:hAnsiTheme="majorHAnsi" w:cstheme="majorHAnsi"/>
          <w:color w:val="000000" w:themeColor="text1"/>
          <w:lang w:val="es-PR"/>
        </w:rPr>
        <w:t>, monitore</w:t>
      </w:r>
      <w:r w:rsidR="00CF4666"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y proporciona liderazgo a todas las escuelas, municipios, distritos y regiones. Desde la perspectiva de LEA, </w:t>
      </w:r>
      <w:r w:rsidR="00CF4666" w:rsidRPr="00BB36A5">
        <w:rPr>
          <w:rFonts w:asciiTheme="majorHAnsi" w:hAnsiTheme="majorHAnsi" w:cstheme="majorHAnsi"/>
          <w:color w:val="000000" w:themeColor="text1"/>
          <w:lang w:val="es-PR"/>
        </w:rPr>
        <w:t xml:space="preserve">el </w:t>
      </w:r>
      <w:r w:rsidRPr="00BB36A5">
        <w:rPr>
          <w:rFonts w:asciiTheme="majorHAnsi" w:hAnsiTheme="majorHAnsi" w:cstheme="majorHAnsi"/>
          <w:color w:val="000000" w:themeColor="text1"/>
          <w:lang w:val="es-PR"/>
        </w:rPr>
        <w:t>DEPR proporciona servicios directos a las escuelas y garantiza la implementación de las políticas a nivel SEA. Aunque el DEPR utiliza el término "Regiones", estas entidades no son LEA y no tienen autoridad absoluta autónoma para la toma de decisiones, ni tienen independencia fiscal.</w:t>
      </w:r>
    </w:p>
    <w:p w14:paraId="58F0D7A5" w14:textId="77777777" w:rsidR="00B50049" w:rsidRPr="00BB36A5" w:rsidRDefault="00B50049" w:rsidP="009F1618">
      <w:pPr>
        <w:pStyle w:val="Default"/>
        <w:spacing w:after="9"/>
        <w:jc w:val="both"/>
        <w:rPr>
          <w:rFonts w:asciiTheme="majorHAnsi" w:hAnsiTheme="majorHAnsi" w:cstheme="majorHAnsi"/>
          <w:color w:val="000000" w:themeColor="text1"/>
          <w:lang w:val="es-PR"/>
        </w:rPr>
      </w:pPr>
    </w:p>
    <w:p w14:paraId="5804322D" w14:textId="6EA0B38B" w:rsidR="0084631E" w:rsidRPr="00BB36A5" w:rsidRDefault="0084631E" w:rsidP="4093036A">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En este contexto y dadas las condiciones de subvención asociadas con l</w:t>
      </w:r>
      <w:r w:rsidR="00866641" w:rsidRPr="00BB36A5">
        <w:rPr>
          <w:rFonts w:asciiTheme="majorHAnsi" w:hAnsiTheme="majorHAnsi" w:cstheme="majorHAnsi"/>
          <w:color w:val="000000" w:themeColor="text1"/>
          <w:lang w:val="es-PR"/>
        </w:rPr>
        <w:t xml:space="preserve">os fondos </w:t>
      </w:r>
      <w:proofErr w:type="spellStart"/>
      <w:r w:rsidR="00866641"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todos los bienes y servicios serán adquiridos y pagados por</w:t>
      </w:r>
      <w:r w:rsidR="00CF4666" w:rsidRPr="00BB36A5">
        <w:rPr>
          <w:rFonts w:asciiTheme="majorHAnsi" w:hAnsiTheme="majorHAnsi" w:cstheme="majorHAnsi"/>
          <w:color w:val="000000" w:themeColor="text1"/>
          <w:lang w:val="es-PR"/>
        </w:rPr>
        <w:t xml:space="preserve"> el</w:t>
      </w:r>
      <w:r w:rsidRPr="00BB36A5">
        <w:rPr>
          <w:rFonts w:asciiTheme="majorHAnsi" w:hAnsiTheme="majorHAnsi" w:cstheme="majorHAnsi"/>
          <w:color w:val="000000" w:themeColor="text1"/>
          <w:lang w:val="es-PR"/>
        </w:rPr>
        <w:t xml:space="preserve"> DE</w:t>
      </w:r>
      <w:r w:rsidR="00866641"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utilizando las políticas, procedimientos y controles internos que se utilizan para todas nuestras actividades financiadas por el gobierno federal; excepto los relacionados con el </w:t>
      </w:r>
      <w:proofErr w:type="spellStart"/>
      <w:r w:rsidR="00866641" w:rsidRPr="00BB36A5">
        <w:rPr>
          <w:rFonts w:asciiTheme="majorHAnsi" w:hAnsiTheme="majorHAnsi" w:cstheme="majorHAnsi"/>
          <w:i/>
          <w:iCs/>
          <w:color w:val="000000" w:themeColor="text1"/>
          <w:lang w:val="es-PR"/>
        </w:rPr>
        <w:t>Restart</w:t>
      </w:r>
      <w:proofErr w:type="spellEnd"/>
      <w:r w:rsidR="00CF4666" w:rsidRPr="00BB36A5">
        <w:rPr>
          <w:rFonts w:asciiTheme="majorHAnsi" w:hAnsiTheme="majorHAnsi" w:cstheme="majorHAnsi"/>
          <w:color w:val="000000" w:themeColor="text1"/>
          <w:lang w:val="es-PR"/>
        </w:rPr>
        <w:t xml:space="preserve"> </w:t>
      </w:r>
      <w:proofErr w:type="spellStart"/>
      <w:r w:rsidR="00E95C1E" w:rsidRPr="00BB36A5">
        <w:rPr>
          <w:rFonts w:asciiTheme="majorHAnsi" w:hAnsiTheme="majorHAnsi" w:cstheme="majorHAnsi"/>
          <w:i/>
          <w:iCs/>
          <w:color w:val="000000" w:themeColor="text1"/>
          <w:lang w:val="es-PR"/>
        </w:rPr>
        <w:t>School</w:t>
      </w:r>
      <w:proofErr w:type="spellEnd"/>
      <w:r w:rsidR="00CF4666" w:rsidRPr="00BB36A5">
        <w:rPr>
          <w:rFonts w:asciiTheme="majorHAnsi" w:hAnsiTheme="majorHAnsi" w:cstheme="majorHAnsi"/>
          <w:i/>
          <w:iCs/>
          <w:color w:val="000000" w:themeColor="text1"/>
          <w:lang w:val="es-PR"/>
        </w:rPr>
        <w:t xml:space="preserve"> Plan</w:t>
      </w:r>
      <w:r w:rsidRPr="00BB36A5">
        <w:rPr>
          <w:rFonts w:asciiTheme="majorHAnsi" w:hAnsiTheme="majorHAnsi" w:cstheme="majorHAnsi"/>
          <w:color w:val="000000" w:themeColor="text1"/>
          <w:lang w:val="es-PR"/>
        </w:rPr>
        <w:t>(</w:t>
      </w:r>
      <w:r w:rsidR="00866641" w:rsidRPr="00BB36A5">
        <w:rPr>
          <w:rFonts w:asciiTheme="majorHAnsi" w:hAnsiTheme="majorHAnsi" w:cstheme="majorHAnsi"/>
          <w:color w:val="000000" w:themeColor="text1"/>
          <w:lang w:val="es-PR"/>
        </w:rPr>
        <w:t>se proveerá</w:t>
      </w:r>
      <w:r w:rsidRPr="00BB36A5">
        <w:rPr>
          <w:rFonts w:asciiTheme="majorHAnsi" w:hAnsiTheme="majorHAnsi" w:cstheme="majorHAnsi"/>
          <w:color w:val="000000" w:themeColor="text1"/>
          <w:lang w:val="es-PR"/>
        </w:rPr>
        <w:t xml:space="preserve"> detalles adicionales sobre </w:t>
      </w:r>
      <w:r w:rsidR="00866641" w:rsidRPr="00BB36A5">
        <w:rPr>
          <w:rFonts w:asciiTheme="majorHAnsi" w:hAnsiTheme="majorHAnsi" w:cstheme="majorHAnsi"/>
          <w:color w:val="000000" w:themeColor="text1"/>
          <w:lang w:val="es-PR"/>
        </w:rPr>
        <w:t>dicho asunto</w:t>
      </w:r>
      <w:r w:rsidRPr="00BB36A5">
        <w:rPr>
          <w:rFonts w:asciiTheme="majorHAnsi" w:hAnsiTheme="majorHAnsi" w:cstheme="majorHAnsi"/>
          <w:color w:val="000000" w:themeColor="text1"/>
          <w:lang w:val="es-PR"/>
        </w:rPr>
        <w:t xml:space="preserve"> dentro de la siguiente sección: Nivel Central – Controles </w:t>
      </w:r>
      <w:r w:rsidR="00866641" w:rsidRPr="00BB36A5">
        <w:rPr>
          <w:rFonts w:asciiTheme="majorHAnsi" w:hAnsiTheme="majorHAnsi" w:cstheme="majorHAnsi"/>
          <w:color w:val="000000" w:themeColor="text1"/>
          <w:lang w:val="es-PR"/>
        </w:rPr>
        <w:t xml:space="preserve">Internos, Políticas y Procedimientos de Compras y </w:t>
      </w:r>
      <w:r w:rsidRPr="00BB36A5">
        <w:rPr>
          <w:rFonts w:asciiTheme="majorHAnsi" w:hAnsiTheme="majorHAnsi" w:cstheme="majorHAnsi"/>
          <w:color w:val="000000" w:themeColor="text1"/>
          <w:lang w:val="es-PR"/>
        </w:rPr>
        <w:t>Fiscales).</w:t>
      </w:r>
    </w:p>
    <w:p w14:paraId="5B9001C4" w14:textId="5BEF16B7" w:rsidR="0084631E" w:rsidRPr="00BB36A5" w:rsidRDefault="0084631E" w:rsidP="4093036A">
      <w:pPr>
        <w:pStyle w:val="Default"/>
        <w:spacing w:after="9"/>
        <w:jc w:val="both"/>
        <w:rPr>
          <w:rFonts w:asciiTheme="majorHAnsi" w:hAnsiTheme="majorHAnsi" w:cstheme="majorHAnsi"/>
          <w:color w:val="000000" w:themeColor="text1"/>
          <w:lang w:val="es-PR"/>
        </w:rPr>
      </w:pPr>
    </w:p>
    <w:p w14:paraId="6EF37272" w14:textId="7A74E50D" w:rsidR="00E95C1E" w:rsidRPr="00BB36A5" w:rsidRDefault="00E95C1E" w:rsidP="00E95C1E">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Para las escuelas privadas, los activos y servicios adquiridos con los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también se asignarán y distribuirán de acuerdo con </w:t>
      </w:r>
      <w:r w:rsidR="00C07387" w:rsidRPr="00BB36A5">
        <w:rPr>
          <w:rFonts w:asciiTheme="majorHAnsi" w:hAnsiTheme="majorHAnsi" w:cstheme="majorHAnsi"/>
          <w:color w:val="000000" w:themeColor="text1"/>
          <w:lang w:val="es-PR"/>
        </w:rPr>
        <w:t xml:space="preserve">los </w:t>
      </w:r>
      <w:r w:rsidRPr="00BB36A5">
        <w:rPr>
          <w:rFonts w:asciiTheme="majorHAnsi" w:hAnsiTheme="majorHAnsi" w:cstheme="majorHAnsi"/>
          <w:color w:val="000000" w:themeColor="text1"/>
          <w:lang w:val="es-PR"/>
        </w:rPr>
        <w:t>procesos</w:t>
      </w:r>
      <w:r w:rsidR="00C07387" w:rsidRPr="00BB36A5">
        <w:rPr>
          <w:rFonts w:asciiTheme="majorHAnsi" w:hAnsiTheme="majorHAnsi" w:cstheme="majorHAnsi"/>
          <w:color w:val="000000" w:themeColor="text1"/>
          <w:lang w:val="es-PR"/>
        </w:rPr>
        <w:t xml:space="preserve"> normales</w:t>
      </w:r>
      <w:r w:rsidRPr="00BB36A5">
        <w:rPr>
          <w:rFonts w:asciiTheme="majorHAnsi" w:hAnsiTheme="majorHAnsi" w:cstheme="majorHAnsi"/>
          <w:color w:val="000000" w:themeColor="text1"/>
          <w:lang w:val="es-PR"/>
        </w:rPr>
        <w:t xml:space="preserve"> y </w:t>
      </w:r>
      <w:r w:rsidR="00C07387" w:rsidRPr="00BB36A5">
        <w:rPr>
          <w:rFonts w:asciiTheme="majorHAnsi" w:hAnsiTheme="majorHAnsi" w:cstheme="majorHAnsi"/>
          <w:color w:val="000000" w:themeColor="text1"/>
          <w:lang w:val="es-PR"/>
        </w:rPr>
        <w:t>guías aplicables</w:t>
      </w:r>
      <w:r w:rsidRPr="00BB36A5">
        <w:rPr>
          <w:rFonts w:asciiTheme="majorHAnsi" w:hAnsiTheme="majorHAnsi" w:cstheme="majorHAnsi"/>
          <w:color w:val="000000" w:themeColor="text1"/>
          <w:lang w:val="es-PR"/>
        </w:rPr>
        <w:t xml:space="preserve">. El DEPR conservará el título de todos los bienes adquiridos y proporcionados a través del programa </w:t>
      </w:r>
      <w:proofErr w:type="spellStart"/>
      <w:r w:rsidR="00C07387"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El DEPR cuenta con un proceso para firmar acuerdos con cada una de las escuelas privadas que participan en el programa </w:t>
      </w:r>
      <w:proofErr w:type="spellStart"/>
      <w:r w:rsidR="00C07387"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para documentar la retención del título </w:t>
      </w:r>
      <w:r w:rsidR="00C07387" w:rsidRPr="00BB36A5">
        <w:rPr>
          <w:rFonts w:asciiTheme="majorHAnsi" w:hAnsiTheme="majorHAnsi" w:cstheme="majorHAnsi"/>
          <w:color w:val="000000" w:themeColor="text1"/>
          <w:lang w:val="es-PR"/>
        </w:rPr>
        <w:t>por el DEPR para todos</w:t>
      </w:r>
      <w:r w:rsidRPr="00BB36A5">
        <w:rPr>
          <w:rFonts w:asciiTheme="majorHAnsi" w:hAnsiTheme="majorHAnsi" w:cstheme="majorHAnsi"/>
          <w:color w:val="000000" w:themeColor="text1"/>
          <w:lang w:val="es-PR"/>
        </w:rPr>
        <w:t xml:space="preserve"> los bienes comprados o reembolsados ​​a la escuela.</w:t>
      </w:r>
    </w:p>
    <w:p w14:paraId="0C7A6180" w14:textId="77777777" w:rsidR="00E95C1E" w:rsidRPr="00BB36A5" w:rsidRDefault="00E95C1E" w:rsidP="00E95C1E">
      <w:pPr>
        <w:pStyle w:val="Default"/>
        <w:spacing w:after="9"/>
        <w:jc w:val="both"/>
        <w:rPr>
          <w:rFonts w:asciiTheme="majorHAnsi" w:hAnsiTheme="majorHAnsi" w:cstheme="majorHAnsi"/>
          <w:color w:val="000000" w:themeColor="text1"/>
          <w:lang w:val="es-PR"/>
        </w:rPr>
      </w:pPr>
    </w:p>
    <w:p w14:paraId="7E47558D" w14:textId="5F968075" w:rsidR="00E95C1E" w:rsidRPr="00BB36A5" w:rsidRDefault="00E95C1E" w:rsidP="00E95C1E">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Las escuelas privadas sin fines de lucro y sus directores</w:t>
      </w:r>
      <w:r w:rsidR="00C07387"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completaron una evaluación / solicitud de necesidad. </w:t>
      </w:r>
      <w:r w:rsidR="004259BA" w:rsidRPr="00BB36A5">
        <w:rPr>
          <w:rFonts w:asciiTheme="majorHAnsi" w:hAnsiTheme="majorHAnsi" w:cstheme="majorHAnsi"/>
          <w:color w:val="000000" w:themeColor="text1"/>
          <w:lang w:val="es-PR"/>
        </w:rPr>
        <w:t>El DEPR proporcionará la asistencia necesaria b</w:t>
      </w:r>
      <w:r w:rsidRPr="00BB36A5">
        <w:rPr>
          <w:rFonts w:asciiTheme="majorHAnsi" w:hAnsiTheme="majorHAnsi" w:cstheme="majorHAnsi"/>
          <w:color w:val="000000" w:themeColor="text1"/>
          <w:lang w:val="es-PR"/>
        </w:rPr>
        <w:t>as</w:t>
      </w:r>
      <w:r w:rsidR="00C07387" w:rsidRPr="00BB36A5">
        <w:rPr>
          <w:rFonts w:asciiTheme="majorHAnsi" w:hAnsiTheme="majorHAnsi" w:cstheme="majorHAnsi"/>
          <w:color w:val="000000" w:themeColor="text1"/>
          <w:lang w:val="es-PR"/>
        </w:rPr>
        <w:t>ados</w:t>
      </w:r>
      <w:r w:rsidRPr="00BB36A5">
        <w:rPr>
          <w:rFonts w:asciiTheme="majorHAnsi" w:hAnsiTheme="majorHAnsi" w:cstheme="majorHAnsi"/>
          <w:color w:val="000000" w:themeColor="text1"/>
          <w:lang w:val="es-PR"/>
        </w:rPr>
        <w:t xml:space="preserve"> en la evaluación / solicitud de necesidad enviada por cada una de las escuelas privadas participantes después de una evaluación exhaustiva. Es importante señalar que, para las escuelas privadas, el DEPR usaría los fondos de </w:t>
      </w:r>
      <w:proofErr w:type="spellStart"/>
      <w:r w:rsidR="004259BA"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para reembolsar a una escuela no pública por servicios o actividades seculares, neutrales y no ideológicos permitidos siguiendo la guía del programa y teniendo toda la documentación de respaldo necesaria.</w:t>
      </w:r>
    </w:p>
    <w:p w14:paraId="1E432C20" w14:textId="77777777" w:rsidR="007B5D9F" w:rsidRPr="00BB36A5" w:rsidRDefault="007B5D9F" w:rsidP="009F1618">
      <w:pPr>
        <w:pStyle w:val="Default"/>
        <w:spacing w:after="9"/>
        <w:jc w:val="both"/>
        <w:rPr>
          <w:rFonts w:asciiTheme="majorHAnsi" w:hAnsiTheme="majorHAnsi" w:cstheme="majorHAnsi"/>
          <w:b/>
          <w:color w:val="000000" w:themeColor="text1"/>
          <w:lang w:val="es-PR"/>
        </w:rPr>
      </w:pPr>
    </w:p>
    <w:p w14:paraId="30CD41BA" w14:textId="4C285406" w:rsidR="00F54322" w:rsidRPr="00BB36A5" w:rsidRDefault="003126C7" w:rsidP="005B5C47">
      <w:pPr>
        <w:pStyle w:val="Heading1"/>
        <w:rPr>
          <w:rFonts w:cstheme="majorHAnsi"/>
          <w:b/>
          <w:sz w:val="24"/>
          <w:szCs w:val="24"/>
          <w:lang w:val="es-PR"/>
        </w:rPr>
      </w:pPr>
      <w:r w:rsidRPr="00BB36A5">
        <w:rPr>
          <w:rFonts w:cstheme="majorHAnsi"/>
          <w:b/>
          <w:sz w:val="24"/>
          <w:szCs w:val="24"/>
          <w:lang w:val="es-PR"/>
        </w:rPr>
        <w:lastRenderedPageBreak/>
        <w:t>Descripción General de las Regulaciones Federales</w:t>
      </w:r>
    </w:p>
    <w:p w14:paraId="5C327AF2" w14:textId="50F4CBB1" w:rsidR="00F54322" w:rsidRPr="00BB36A5" w:rsidRDefault="003126C7" w:rsidP="00A852E7">
      <w:pPr>
        <w:pStyle w:val="Heading2"/>
        <w:rPr>
          <w:rFonts w:cstheme="majorHAnsi"/>
          <w:sz w:val="24"/>
          <w:szCs w:val="24"/>
          <w:lang w:val="es-PR"/>
        </w:rPr>
      </w:pPr>
      <w:r w:rsidRPr="00BB36A5">
        <w:rPr>
          <w:rFonts w:cstheme="majorHAnsi"/>
          <w:sz w:val="24"/>
          <w:szCs w:val="24"/>
          <w:lang w:val="es-PR"/>
        </w:rPr>
        <w:t>Controles Internos</w:t>
      </w:r>
      <w:r w:rsidR="00F54322" w:rsidRPr="00BB36A5">
        <w:rPr>
          <w:rStyle w:val="FootnoteReference"/>
          <w:rFonts w:cstheme="majorHAnsi"/>
          <w:color w:val="auto"/>
          <w:sz w:val="24"/>
          <w:szCs w:val="24"/>
        </w:rPr>
        <w:footnoteReference w:id="4"/>
      </w:r>
    </w:p>
    <w:p w14:paraId="32D9F869" w14:textId="77777777" w:rsidR="00182B90" w:rsidRPr="00BB36A5" w:rsidRDefault="00182B90" w:rsidP="00F54322">
      <w:pPr>
        <w:jc w:val="both"/>
        <w:rPr>
          <w:rFonts w:asciiTheme="majorHAnsi" w:hAnsiTheme="majorHAnsi" w:cstheme="majorHAnsi"/>
          <w:lang w:val="es-PR"/>
        </w:rPr>
      </w:pPr>
    </w:p>
    <w:p w14:paraId="3F55AF41" w14:textId="279D33E2" w:rsidR="00182B90" w:rsidRPr="00BB36A5" w:rsidRDefault="00182B90" w:rsidP="00F54322">
      <w:pPr>
        <w:jc w:val="both"/>
        <w:rPr>
          <w:rFonts w:asciiTheme="majorHAnsi" w:hAnsiTheme="majorHAnsi" w:cstheme="majorHAnsi"/>
          <w:lang w:val="es-PR"/>
        </w:rPr>
      </w:pPr>
      <w:r w:rsidRPr="00BB36A5">
        <w:rPr>
          <w:rFonts w:asciiTheme="majorHAnsi" w:hAnsiTheme="majorHAnsi" w:cstheme="majorHAnsi"/>
          <w:lang w:val="es-PR"/>
        </w:rPr>
        <w:t>Los beneficiarios de fondos federales deben estar familiarizados con los requisitos de control interno detallados en el Título 2 del Código de Regulaciones Federales, o CFR Parte 200, que describe los requisitos</w:t>
      </w:r>
      <w:r w:rsidR="00A144A6" w:rsidRPr="00BB36A5">
        <w:rPr>
          <w:rFonts w:asciiTheme="majorHAnsi" w:hAnsiTheme="majorHAnsi" w:cstheme="majorHAnsi"/>
          <w:lang w:val="es-PR"/>
        </w:rPr>
        <w:t xml:space="preserve"> uniformes</w:t>
      </w:r>
      <w:r w:rsidRPr="00BB36A5">
        <w:rPr>
          <w:rFonts w:asciiTheme="majorHAnsi" w:hAnsiTheme="majorHAnsi" w:cstheme="majorHAnsi"/>
          <w:lang w:val="es-PR"/>
        </w:rPr>
        <w:t xml:space="preserve"> administrativos, los principios de costos y los requisitos de auditoría.</w:t>
      </w:r>
      <w:r w:rsidR="00A144A6" w:rsidRPr="00BB36A5">
        <w:rPr>
          <w:rFonts w:asciiTheme="majorHAnsi" w:hAnsiTheme="majorHAnsi" w:cstheme="majorHAnsi"/>
          <w:lang w:val="es-PR"/>
        </w:rPr>
        <w:t xml:space="preserve">  </w:t>
      </w:r>
      <w:r w:rsidRPr="00BB36A5">
        <w:rPr>
          <w:rFonts w:asciiTheme="majorHAnsi" w:hAnsiTheme="majorHAnsi" w:cstheme="majorHAnsi"/>
          <w:lang w:val="es-PR"/>
        </w:rPr>
        <w:t xml:space="preserve">Además, los beneficiarios deben buscar orientación sobre subvenciones en el Título 34 del CFR, las Partes 75 a 79, las Partes 81 a 84, la Parte 86 y las Partes 97 a 99. El Título 2 de la Parte 200 del CFR, que se aplica a todas las subvenciones realizadas a partir del 26 de diciembre de 2014, eleva el </w:t>
      </w:r>
      <w:r w:rsidR="00A144A6" w:rsidRPr="00BB36A5">
        <w:rPr>
          <w:rFonts w:asciiTheme="majorHAnsi" w:hAnsiTheme="majorHAnsi" w:cstheme="majorHAnsi"/>
          <w:lang w:val="es-PR"/>
        </w:rPr>
        <w:t xml:space="preserve">rol </w:t>
      </w:r>
      <w:r w:rsidRPr="00BB36A5">
        <w:rPr>
          <w:rFonts w:asciiTheme="majorHAnsi" w:hAnsiTheme="majorHAnsi" w:cstheme="majorHAnsi"/>
          <w:lang w:val="es-PR"/>
        </w:rPr>
        <w:t xml:space="preserve">de los controles internos en </w:t>
      </w:r>
      <w:r w:rsidR="00A144A6" w:rsidRPr="00BB36A5">
        <w:rPr>
          <w:rFonts w:asciiTheme="majorHAnsi" w:hAnsiTheme="majorHAnsi" w:cstheme="majorHAnsi"/>
          <w:lang w:val="es-PR"/>
        </w:rPr>
        <w:t>la administración</w:t>
      </w:r>
      <w:r w:rsidRPr="00BB36A5">
        <w:rPr>
          <w:rFonts w:asciiTheme="majorHAnsi" w:hAnsiTheme="majorHAnsi" w:cstheme="majorHAnsi"/>
          <w:lang w:val="es-PR"/>
        </w:rPr>
        <w:t xml:space="preserve"> de </w:t>
      </w:r>
      <w:r w:rsidR="00A144A6" w:rsidRPr="00BB36A5">
        <w:rPr>
          <w:rFonts w:asciiTheme="majorHAnsi" w:hAnsiTheme="majorHAnsi" w:cstheme="majorHAnsi"/>
          <w:lang w:val="es-PR"/>
        </w:rPr>
        <w:t xml:space="preserve">fondos o </w:t>
      </w:r>
      <w:r w:rsidRPr="00BB36A5">
        <w:rPr>
          <w:rFonts w:asciiTheme="majorHAnsi" w:hAnsiTheme="majorHAnsi" w:cstheme="majorHAnsi"/>
          <w:lang w:val="es-PR"/>
        </w:rPr>
        <w:t>subvenciones.</w:t>
      </w:r>
      <w:r w:rsidR="00A144A6" w:rsidRPr="00BB36A5">
        <w:rPr>
          <w:rFonts w:asciiTheme="majorHAnsi" w:hAnsiTheme="majorHAnsi" w:cstheme="majorHAnsi"/>
          <w:lang w:val="es-PR"/>
        </w:rPr>
        <w:t xml:space="preserve">  </w:t>
      </w:r>
      <w:r w:rsidRPr="00BB36A5">
        <w:rPr>
          <w:rFonts w:asciiTheme="majorHAnsi" w:hAnsiTheme="majorHAnsi" w:cstheme="majorHAnsi"/>
          <w:lang w:val="es-PR"/>
        </w:rPr>
        <w:t xml:space="preserve">Específicamente, 2 CFR 200.303(a) requiere que los </w:t>
      </w:r>
      <w:r w:rsidR="00A144A6" w:rsidRPr="00BB36A5">
        <w:rPr>
          <w:rFonts w:asciiTheme="majorHAnsi" w:hAnsiTheme="majorHAnsi" w:cstheme="majorHAnsi"/>
          <w:lang w:val="es-PR"/>
        </w:rPr>
        <w:t>beneficiaro</w:t>
      </w:r>
      <w:r w:rsidRPr="00BB36A5">
        <w:rPr>
          <w:rFonts w:asciiTheme="majorHAnsi" w:hAnsiTheme="majorHAnsi" w:cstheme="majorHAnsi"/>
          <w:lang w:val="es-PR"/>
        </w:rPr>
        <w:t xml:space="preserve">s "establezcan y mantengan un control interno efectivo sobre </w:t>
      </w:r>
      <w:r w:rsidR="00A144A6" w:rsidRPr="00BB36A5">
        <w:rPr>
          <w:rFonts w:asciiTheme="majorHAnsi" w:hAnsiTheme="majorHAnsi" w:cstheme="majorHAnsi"/>
          <w:lang w:val="es-PR"/>
        </w:rPr>
        <w:t>la adjudicación de fondos</w:t>
      </w:r>
      <w:r w:rsidRPr="00BB36A5">
        <w:rPr>
          <w:rFonts w:asciiTheme="majorHAnsi" w:hAnsiTheme="majorHAnsi" w:cstheme="majorHAnsi"/>
          <w:lang w:val="es-PR"/>
        </w:rPr>
        <w:t xml:space="preserve"> que proporciona una garantía razonable de que la entidad no federal está administrando </w:t>
      </w:r>
      <w:r w:rsidR="00A144A6" w:rsidRPr="00BB36A5">
        <w:rPr>
          <w:rFonts w:asciiTheme="majorHAnsi" w:hAnsiTheme="majorHAnsi" w:cstheme="majorHAnsi"/>
          <w:lang w:val="es-PR"/>
        </w:rPr>
        <w:t>la adjudicación de los fondos</w:t>
      </w:r>
      <w:r w:rsidRPr="00BB36A5">
        <w:rPr>
          <w:rFonts w:asciiTheme="majorHAnsi" w:hAnsiTheme="majorHAnsi" w:cstheme="majorHAnsi"/>
          <w:lang w:val="es-PR"/>
        </w:rPr>
        <w:t xml:space="preserve"> federal</w:t>
      </w:r>
      <w:r w:rsidR="00A144A6" w:rsidRPr="00BB36A5">
        <w:rPr>
          <w:rFonts w:asciiTheme="majorHAnsi" w:hAnsiTheme="majorHAnsi" w:cstheme="majorHAnsi"/>
          <w:lang w:val="es-PR"/>
        </w:rPr>
        <w:t>es</w:t>
      </w:r>
      <w:r w:rsidRPr="00BB36A5">
        <w:rPr>
          <w:rFonts w:asciiTheme="majorHAnsi" w:hAnsiTheme="majorHAnsi" w:cstheme="majorHAnsi"/>
          <w:lang w:val="es-PR"/>
        </w:rPr>
        <w:t xml:space="preserve"> </w:t>
      </w:r>
      <w:r w:rsidR="00A144A6" w:rsidRPr="00BB36A5">
        <w:rPr>
          <w:rFonts w:asciiTheme="majorHAnsi" w:hAnsiTheme="majorHAnsi" w:cstheme="majorHAnsi"/>
          <w:lang w:val="es-PR"/>
        </w:rPr>
        <w:t>en</w:t>
      </w:r>
      <w:r w:rsidRPr="00BB36A5">
        <w:rPr>
          <w:rFonts w:asciiTheme="majorHAnsi" w:hAnsiTheme="majorHAnsi" w:cstheme="majorHAnsi"/>
          <w:lang w:val="es-PR"/>
        </w:rPr>
        <w:t xml:space="preserve"> conformidad con los estatutos, las regulaciones</w:t>
      </w:r>
      <w:r w:rsidR="00A144A6" w:rsidRPr="00BB36A5">
        <w:rPr>
          <w:rFonts w:asciiTheme="majorHAnsi" w:hAnsiTheme="majorHAnsi" w:cstheme="majorHAnsi"/>
          <w:lang w:val="es-PR"/>
        </w:rPr>
        <w:t xml:space="preserve"> federales</w:t>
      </w:r>
      <w:r w:rsidRPr="00BB36A5">
        <w:rPr>
          <w:rFonts w:asciiTheme="majorHAnsi" w:hAnsiTheme="majorHAnsi" w:cstheme="majorHAnsi"/>
          <w:lang w:val="es-PR"/>
        </w:rPr>
        <w:t xml:space="preserve"> y los términos y condiciones de</w:t>
      </w:r>
      <w:r w:rsidR="00E211D1" w:rsidRPr="00BB36A5">
        <w:rPr>
          <w:rFonts w:asciiTheme="majorHAnsi" w:hAnsiTheme="majorHAnsi" w:cstheme="majorHAnsi"/>
          <w:lang w:val="es-PR"/>
        </w:rPr>
        <w:t xml:space="preserve">l </w:t>
      </w:r>
      <w:proofErr w:type="gramStart"/>
      <w:r w:rsidR="00E211D1" w:rsidRPr="00BB36A5">
        <w:rPr>
          <w:rFonts w:asciiTheme="majorHAnsi" w:hAnsiTheme="majorHAnsi" w:cstheme="majorHAnsi"/>
          <w:lang w:val="es-PR"/>
        </w:rPr>
        <w:t>programa</w:t>
      </w:r>
      <w:r w:rsidR="00B741C1" w:rsidRPr="00BB36A5">
        <w:rPr>
          <w:rFonts w:asciiTheme="majorHAnsi" w:hAnsiTheme="majorHAnsi" w:cstheme="majorHAnsi"/>
          <w:lang w:val="es-PR"/>
        </w:rPr>
        <w:t xml:space="preserve"> </w:t>
      </w:r>
      <w:r w:rsidRPr="00BB36A5">
        <w:rPr>
          <w:rFonts w:asciiTheme="majorHAnsi" w:hAnsiTheme="majorHAnsi" w:cstheme="majorHAnsi"/>
          <w:lang w:val="es-PR"/>
        </w:rPr>
        <w:t xml:space="preserve"> federal</w:t>
      </w:r>
      <w:proofErr w:type="gramEnd"/>
      <w:r w:rsidR="00E211D1" w:rsidRPr="00BB36A5">
        <w:rPr>
          <w:rFonts w:asciiTheme="majorHAnsi" w:hAnsiTheme="majorHAnsi" w:cstheme="majorHAnsi"/>
          <w:lang w:val="es-PR"/>
        </w:rPr>
        <w:t xml:space="preserve"> que se les fue otorgado</w:t>
      </w:r>
      <w:r w:rsidRPr="00BB36A5">
        <w:rPr>
          <w:rFonts w:asciiTheme="majorHAnsi" w:hAnsiTheme="majorHAnsi" w:cstheme="majorHAnsi"/>
          <w:lang w:val="es-PR"/>
        </w:rPr>
        <w:t xml:space="preserve">. Estos controles internos deben </w:t>
      </w:r>
      <w:r w:rsidR="00B741C1" w:rsidRPr="00BB36A5">
        <w:rPr>
          <w:rFonts w:asciiTheme="majorHAnsi" w:hAnsiTheme="majorHAnsi" w:cstheme="majorHAnsi"/>
          <w:lang w:val="es-PR"/>
        </w:rPr>
        <w:t>estar en cumplimiento con las guías</w:t>
      </w:r>
      <w:r w:rsidRPr="00BB36A5">
        <w:rPr>
          <w:rFonts w:asciiTheme="majorHAnsi" w:hAnsiTheme="majorHAnsi" w:cstheme="majorHAnsi"/>
          <w:lang w:val="es-PR"/>
        </w:rPr>
        <w:t xml:space="preserve"> de l</w:t>
      </w:r>
      <w:r w:rsidR="00B741C1" w:rsidRPr="00BB36A5">
        <w:rPr>
          <w:rFonts w:asciiTheme="majorHAnsi" w:hAnsiTheme="majorHAnsi" w:cstheme="majorHAnsi"/>
          <w:lang w:val="es-PR"/>
        </w:rPr>
        <w:t>o</w:t>
      </w:r>
      <w:r w:rsidRPr="00BB36A5">
        <w:rPr>
          <w:rFonts w:asciiTheme="majorHAnsi" w:hAnsiTheme="majorHAnsi" w:cstheme="majorHAnsi"/>
          <w:lang w:val="es-PR"/>
        </w:rPr>
        <w:t>s "</w:t>
      </w:r>
      <w:r w:rsidR="00B741C1" w:rsidRPr="00BB36A5">
        <w:rPr>
          <w:rFonts w:asciiTheme="majorHAnsi" w:hAnsiTheme="majorHAnsi" w:cstheme="majorHAnsi"/>
          <w:lang w:val="es-PR"/>
        </w:rPr>
        <w:t>Estándares</w:t>
      </w:r>
      <w:r w:rsidRPr="00BB36A5">
        <w:rPr>
          <w:rFonts w:asciiTheme="majorHAnsi" w:hAnsiTheme="majorHAnsi" w:cstheme="majorHAnsi"/>
          <w:lang w:val="es-PR"/>
        </w:rPr>
        <w:t xml:space="preserve"> de Control Interno </w:t>
      </w:r>
      <w:r w:rsidR="00B741C1" w:rsidRPr="00BB36A5">
        <w:rPr>
          <w:rFonts w:asciiTheme="majorHAnsi" w:hAnsiTheme="majorHAnsi" w:cstheme="majorHAnsi"/>
          <w:lang w:val="es-PR"/>
        </w:rPr>
        <w:t>d</w:t>
      </w:r>
      <w:r w:rsidRPr="00BB36A5">
        <w:rPr>
          <w:rFonts w:asciiTheme="majorHAnsi" w:hAnsiTheme="majorHAnsi" w:cstheme="majorHAnsi"/>
          <w:lang w:val="es-PR"/>
        </w:rPr>
        <w:t xml:space="preserve">el Gobierno Federal" emitidas por </w:t>
      </w:r>
      <w:r w:rsidR="00B741C1" w:rsidRPr="00BB36A5">
        <w:rPr>
          <w:rFonts w:asciiTheme="majorHAnsi" w:hAnsiTheme="majorHAnsi" w:cstheme="majorHAnsi"/>
          <w:lang w:val="es-PR"/>
        </w:rPr>
        <w:t>el Contralor</w:t>
      </w:r>
      <w:r w:rsidRPr="00BB36A5">
        <w:rPr>
          <w:rFonts w:asciiTheme="majorHAnsi" w:hAnsiTheme="majorHAnsi" w:cstheme="majorHAnsi"/>
          <w:lang w:val="es-PR"/>
        </w:rPr>
        <w:t xml:space="preserve"> General de los Estados Unidos o el </w:t>
      </w:r>
      <w:r w:rsidRPr="00BB36A5">
        <w:rPr>
          <w:rFonts w:asciiTheme="majorHAnsi" w:hAnsiTheme="majorHAnsi" w:cstheme="majorHAnsi"/>
          <w:b/>
          <w:bCs/>
          <w:lang w:val="es-PR"/>
        </w:rPr>
        <w:t xml:space="preserve">"Control Interno - Marco </w:t>
      </w:r>
      <w:r w:rsidR="00B741C1" w:rsidRPr="00BB36A5">
        <w:rPr>
          <w:rFonts w:asciiTheme="majorHAnsi" w:hAnsiTheme="majorHAnsi" w:cstheme="majorHAnsi"/>
          <w:b/>
          <w:bCs/>
          <w:lang w:val="es-PR"/>
        </w:rPr>
        <w:t xml:space="preserve">de Referencia </w:t>
      </w:r>
      <w:r w:rsidRPr="00BB36A5">
        <w:rPr>
          <w:rFonts w:asciiTheme="majorHAnsi" w:hAnsiTheme="majorHAnsi" w:cstheme="majorHAnsi"/>
          <w:b/>
          <w:bCs/>
          <w:lang w:val="es-PR"/>
        </w:rPr>
        <w:t xml:space="preserve">Integrado", emitido por el Comité de Organizaciones Patrocinadoras de la Comisión </w:t>
      </w:r>
      <w:proofErr w:type="spellStart"/>
      <w:r w:rsidRPr="00BB36A5">
        <w:rPr>
          <w:rFonts w:asciiTheme="majorHAnsi" w:hAnsiTheme="majorHAnsi" w:cstheme="majorHAnsi"/>
          <w:b/>
          <w:bCs/>
          <w:i/>
          <w:iCs/>
          <w:lang w:val="es-PR"/>
        </w:rPr>
        <w:t>Treadway</w:t>
      </w:r>
      <w:proofErr w:type="spellEnd"/>
      <w:r w:rsidRPr="00BB36A5">
        <w:rPr>
          <w:rFonts w:asciiTheme="majorHAnsi" w:hAnsiTheme="majorHAnsi" w:cstheme="majorHAnsi"/>
          <w:b/>
          <w:bCs/>
          <w:lang w:val="es-PR"/>
        </w:rPr>
        <w:t xml:space="preserve">, o </w:t>
      </w:r>
      <w:r w:rsidR="00B741C1" w:rsidRPr="00BB36A5">
        <w:rPr>
          <w:rFonts w:asciiTheme="majorHAnsi" w:hAnsiTheme="majorHAnsi" w:cstheme="majorHAnsi"/>
          <w:b/>
          <w:lang w:val="es-PR"/>
        </w:rPr>
        <w:t>COSO</w:t>
      </w:r>
      <w:r w:rsidR="00B741C1" w:rsidRPr="00BB36A5">
        <w:rPr>
          <w:rStyle w:val="FootnoteReference"/>
          <w:rFonts w:asciiTheme="majorHAnsi" w:hAnsiTheme="majorHAnsi" w:cstheme="majorHAnsi"/>
          <w:b/>
        </w:rPr>
        <w:footnoteReference w:id="5"/>
      </w:r>
      <w:r w:rsidRPr="00BB36A5">
        <w:rPr>
          <w:rFonts w:asciiTheme="majorHAnsi" w:hAnsiTheme="majorHAnsi" w:cstheme="majorHAnsi"/>
          <w:b/>
          <w:bCs/>
          <w:lang w:val="es-PR"/>
        </w:rPr>
        <w:t>."</w:t>
      </w:r>
      <w:r w:rsidRPr="00BB36A5">
        <w:rPr>
          <w:rFonts w:asciiTheme="majorHAnsi" w:hAnsiTheme="majorHAnsi" w:cstheme="majorHAnsi"/>
          <w:lang w:val="es-PR"/>
        </w:rPr>
        <w:t xml:space="preserve"> Los controles internos son monitoreados por la agencia adjudicadora y por los auditores, </w:t>
      </w:r>
      <w:r w:rsidR="00B741C1" w:rsidRPr="00BB36A5">
        <w:rPr>
          <w:rFonts w:asciiTheme="majorHAnsi" w:hAnsiTheme="majorHAnsi" w:cstheme="majorHAnsi"/>
          <w:lang w:val="es-PR"/>
        </w:rPr>
        <w:t>por medio</w:t>
      </w:r>
      <w:r w:rsidRPr="00BB36A5">
        <w:rPr>
          <w:rFonts w:asciiTheme="majorHAnsi" w:hAnsiTheme="majorHAnsi" w:cstheme="majorHAnsi"/>
          <w:lang w:val="es-PR"/>
        </w:rPr>
        <w:t xml:space="preserve"> de </w:t>
      </w:r>
      <w:r w:rsidR="00B741C1" w:rsidRPr="00BB36A5">
        <w:rPr>
          <w:rFonts w:asciiTheme="majorHAnsi" w:hAnsiTheme="majorHAnsi" w:cstheme="majorHAnsi"/>
          <w:lang w:val="es-PR"/>
        </w:rPr>
        <w:t xml:space="preserve">un </w:t>
      </w:r>
      <w:r w:rsidR="00B741C1" w:rsidRPr="00BB36A5">
        <w:rPr>
          <w:rFonts w:asciiTheme="majorHAnsi" w:hAnsiTheme="majorHAnsi" w:cstheme="majorHAnsi"/>
          <w:i/>
          <w:iCs/>
          <w:lang w:val="es-PR"/>
        </w:rPr>
        <w:t xml:space="preserve">single </w:t>
      </w:r>
      <w:proofErr w:type="spellStart"/>
      <w:r w:rsidR="0097293A" w:rsidRPr="00BB36A5">
        <w:rPr>
          <w:rFonts w:asciiTheme="majorHAnsi" w:hAnsiTheme="majorHAnsi" w:cstheme="majorHAnsi"/>
          <w:i/>
          <w:iCs/>
          <w:lang w:val="es-PR"/>
        </w:rPr>
        <w:t>a</w:t>
      </w:r>
      <w:r w:rsidR="00B741C1" w:rsidRPr="00BB36A5">
        <w:rPr>
          <w:rFonts w:asciiTheme="majorHAnsi" w:hAnsiTheme="majorHAnsi" w:cstheme="majorHAnsi"/>
          <w:i/>
          <w:iCs/>
          <w:lang w:val="es-PR"/>
        </w:rPr>
        <w:t>udit</w:t>
      </w:r>
      <w:proofErr w:type="spellEnd"/>
      <w:r w:rsidR="00B741C1" w:rsidRPr="00BB36A5">
        <w:rPr>
          <w:rFonts w:asciiTheme="majorHAnsi" w:hAnsiTheme="majorHAnsi" w:cstheme="majorHAnsi"/>
          <w:lang w:val="es-PR"/>
        </w:rPr>
        <w:t xml:space="preserve"> y</w:t>
      </w:r>
      <w:r w:rsidRPr="00BB36A5">
        <w:rPr>
          <w:rFonts w:asciiTheme="majorHAnsi" w:hAnsiTheme="majorHAnsi" w:cstheme="majorHAnsi"/>
          <w:lang w:val="es-PR"/>
        </w:rPr>
        <w:t xml:space="preserve"> </w:t>
      </w:r>
      <w:r w:rsidR="00B741C1" w:rsidRPr="00BB36A5">
        <w:rPr>
          <w:rFonts w:asciiTheme="majorHAnsi" w:hAnsiTheme="majorHAnsi" w:cstheme="majorHAnsi"/>
          <w:lang w:val="es-PR"/>
        </w:rPr>
        <w:t xml:space="preserve">los requisitos de </w:t>
      </w:r>
      <w:r w:rsidRPr="00BB36A5">
        <w:rPr>
          <w:rFonts w:asciiTheme="majorHAnsi" w:hAnsiTheme="majorHAnsi" w:cstheme="majorHAnsi"/>
          <w:lang w:val="es-PR"/>
        </w:rPr>
        <w:t>auditoría del programa.</w:t>
      </w:r>
    </w:p>
    <w:p w14:paraId="790BAB3F" w14:textId="77777777" w:rsidR="00F54322" w:rsidRPr="00BB36A5" w:rsidRDefault="00F54322" w:rsidP="00F54322">
      <w:pPr>
        <w:jc w:val="both"/>
        <w:rPr>
          <w:rFonts w:asciiTheme="majorHAnsi" w:hAnsiTheme="majorHAnsi" w:cstheme="majorHAnsi"/>
          <w:b/>
          <w:lang w:val="es-PR"/>
        </w:rPr>
      </w:pPr>
    </w:p>
    <w:p w14:paraId="57F7A935" w14:textId="6A51415D" w:rsidR="00B741C1" w:rsidRPr="00BB36A5" w:rsidRDefault="00B741C1" w:rsidP="00F54322">
      <w:pPr>
        <w:jc w:val="both"/>
        <w:rPr>
          <w:rFonts w:asciiTheme="majorHAnsi" w:hAnsiTheme="majorHAnsi" w:cstheme="majorHAnsi"/>
          <w:lang w:val="es-PR"/>
        </w:rPr>
      </w:pPr>
      <w:r w:rsidRPr="00BB36A5">
        <w:rPr>
          <w:rFonts w:asciiTheme="majorHAnsi" w:hAnsiTheme="majorHAnsi" w:cstheme="majorHAnsi"/>
          <w:b/>
          <w:bCs/>
          <w:lang w:val="es-PR"/>
        </w:rPr>
        <w:t xml:space="preserve">El nuevo EDGAR y los Controles Internos 2 CFR 200.303, y los "Requisitos Uniformes Administrativos, Principios de Costo y Requisitos de Auditoría para Subvenciones Federales" (2 C.F.R </w:t>
      </w:r>
      <w:proofErr w:type="spellStart"/>
      <w:proofErr w:type="gramStart"/>
      <w:r w:rsidRPr="00BB36A5">
        <w:rPr>
          <w:rFonts w:asciiTheme="majorHAnsi" w:hAnsiTheme="majorHAnsi" w:cstheme="majorHAnsi"/>
          <w:b/>
          <w:bCs/>
          <w:lang w:val="es-PR"/>
        </w:rPr>
        <w:t>n.o</w:t>
      </w:r>
      <w:proofErr w:type="spellEnd"/>
      <w:proofErr w:type="gramEnd"/>
      <w:r w:rsidRPr="00BB36A5">
        <w:rPr>
          <w:rFonts w:asciiTheme="majorHAnsi" w:hAnsiTheme="majorHAnsi" w:cstheme="majorHAnsi"/>
          <w:b/>
          <w:bCs/>
          <w:lang w:val="es-PR"/>
        </w:rPr>
        <w:t xml:space="preserve"> 200)</w:t>
      </w:r>
      <w:r w:rsidRPr="00BB36A5">
        <w:rPr>
          <w:rFonts w:asciiTheme="majorHAnsi" w:hAnsiTheme="majorHAnsi" w:cstheme="majorHAnsi"/>
          <w:lang w:val="es-PR"/>
        </w:rPr>
        <w:t xml:space="preserve"> requieren que los beneficiarios implementen controles internos para la administración de subvenciones federales. Los </w:t>
      </w:r>
      <w:r w:rsidR="00202A58" w:rsidRPr="00BB36A5">
        <w:rPr>
          <w:rFonts w:asciiTheme="majorHAnsi" w:hAnsiTheme="majorHAnsi" w:cstheme="majorHAnsi"/>
          <w:lang w:val="es-PR"/>
        </w:rPr>
        <w:t>beneficiarios</w:t>
      </w:r>
      <w:r w:rsidRPr="00BB36A5">
        <w:rPr>
          <w:rFonts w:asciiTheme="majorHAnsi" w:hAnsiTheme="majorHAnsi" w:cstheme="majorHAnsi"/>
          <w:lang w:val="es-PR"/>
        </w:rPr>
        <w:t xml:space="preserve"> deben establecer y mantener un control interno efectivo sobre las subvenciones federales y proporcionar una garantía razonable de que cumplen con todas las leyes, regulaciones y requisitos relacionados con las subvenciones que reciben.</w:t>
      </w:r>
    </w:p>
    <w:p w14:paraId="006EB640" w14:textId="77777777" w:rsidR="00F54322" w:rsidRPr="00BB36A5" w:rsidRDefault="00F54322" w:rsidP="00F54322">
      <w:pPr>
        <w:jc w:val="both"/>
        <w:rPr>
          <w:rFonts w:asciiTheme="majorHAnsi" w:hAnsiTheme="majorHAnsi" w:cstheme="majorHAnsi"/>
          <w:lang w:val="es-PR"/>
        </w:rPr>
      </w:pPr>
    </w:p>
    <w:p w14:paraId="325256AB" w14:textId="09217205" w:rsidR="00F54322" w:rsidRPr="00BB36A5" w:rsidRDefault="00202A58" w:rsidP="00F54322">
      <w:pPr>
        <w:jc w:val="both"/>
        <w:rPr>
          <w:rFonts w:asciiTheme="majorHAnsi" w:hAnsiTheme="majorHAnsi" w:cstheme="majorHAnsi"/>
          <w:lang w:val="es-PR"/>
        </w:rPr>
      </w:pPr>
      <w:r w:rsidRPr="00BB36A5">
        <w:rPr>
          <w:rFonts w:asciiTheme="majorHAnsi" w:hAnsiTheme="majorHAnsi" w:cstheme="majorHAnsi"/>
          <w:lang w:val="es-PR"/>
        </w:rPr>
        <w:t>Además</w:t>
      </w:r>
      <w:r w:rsidR="00F54322" w:rsidRPr="00BB36A5">
        <w:rPr>
          <w:rFonts w:asciiTheme="majorHAnsi" w:hAnsiTheme="majorHAnsi" w:cstheme="majorHAnsi"/>
          <w:lang w:val="es-PR"/>
        </w:rPr>
        <w:t xml:space="preserve">, </w:t>
      </w:r>
      <w:r w:rsidRPr="00BB36A5">
        <w:rPr>
          <w:rFonts w:asciiTheme="majorHAnsi" w:hAnsiTheme="majorHAnsi" w:cstheme="majorHAnsi"/>
          <w:lang w:val="es-PR"/>
        </w:rPr>
        <w:t>los beneficiaros deben</w:t>
      </w:r>
      <w:r w:rsidR="00F54322" w:rsidRPr="00BB36A5">
        <w:rPr>
          <w:rFonts w:asciiTheme="majorHAnsi" w:hAnsiTheme="majorHAnsi" w:cstheme="majorHAnsi"/>
          <w:lang w:val="es-PR"/>
        </w:rPr>
        <w:t xml:space="preserve">: </w:t>
      </w:r>
    </w:p>
    <w:p w14:paraId="1BD3B86A" w14:textId="77777777" w:rsidR="00F54322" w:rsidRPr="00BB36A5" w:rsidRDefault="00F54322" w:rsidP="005B5C47">
      <w:pPr>
        <w:pStyle w:val="ListParagraph"/>
        <w:jc w:val="both"/>
        <w:rPr>
          <w:rFonts w:asciiTheme="majorHAnsi" w:hAnsiTheme="majorHAnsi" w:cstheme="majorHAnsi"/>
          <w:lang w:val="es-PR"/>
        </w:rPr>
      </w:pPr>
    </w:p>
    <w:p w14:paraId="245674C4" w14:textId="5DA18250" w:rsidR="00F54322" w:rsidRPr="00BB36A5" w:rsidRDefault="00F54322" w:rsidP="007D079D">
      <w:pPr>
        <w:pStyle w:val="ListParagraph"/>
        <w:numPr>
          <w:ilvl w:val="0"/>
          <w:numId w:val="5"/>
        </w:numPr>
        <w:jc w:val="both"/>
        <w:rPr>
          <w:rFonts w:asciiTheme="majorHAnsi" w:hAnsiTheme="majorHAnsi" w:cstheme="majorHAnsi"/>
          <w:lang w:val="es-PR"/>
        </w:rPr>
      </w:pPr>
      <w:r w:rsidRPr="00BB36A5">
        <w:rPr>
          <w:rFonts w:asciiTheme="majorHAnsi" w:hAnsiTheme="majorHAnsi" w:cstheme="majorHAnsi"/>
          <w:lang w:val="es-PR"/>
        </w:rPr>
        <w:t>Evalu</w:t>
      </w:r>
      <w:r w:rsidR="00202A58" w:rsidRPr="00BB36A5">
        <w:rPr>
          <w:rFonts w:asciiTheme="majorHAnsi" w:hAnsiTheme="majorHAnsi" w:cstheme="majorHAnsi"/>
          <w:lang w:val="es-PR"/>
        </w:rPr>
        <w:t>ar</w:t>
      </w:r>
      <w:r w:rsidRPr="00BB36A5">
        <w:rPr>
          <w:rFonts w:asciiTheme="majorHAnsi" w:hAnsiTheme="majorHAnsi" w:cstheme="majorHAnsi"/>
          <w:lang w:val="es-PR"/>
        </w:rPr>
        <w:t xml:space="preserve"> </w:t>
      </w:r>
      <w:r w:rsidR="00202A58" w:rsidRPr="00BB36A5">
        <w:rPr>
          <w:rFonts w:asciiTheme="majorHAnsi" w:hAnsiTheme="majorHAnsi" w:cstheme="majorHAnsi"/>
          <w:lang w:val="es-PR"/>
        </w:rPr>
        <w:t xml:space="preserve">y monitorear su cumplimiento con los requisitos de la otorgación de fondos o subvención. </w:t>
      </w:r>
      <w:r w:rsidRPr="00BB36A5">
        <w:rPr>
          <w:rFonts w:asciiTheme="majorHAnsi" w:hAnsiTheme="majorHAnsi" w:cstheme="majorHAnsi"/>
          <w:lang w:val="es-PR"/>
        </w:rPr>
        <w:t xml:space="preserve"> </w:t>
      </w:r>
    </w:p>
    <w:p w14:paraId="23CA5284" w14:textId="4379501B" w:rsidR="00F54322" w:rsidRPr="00BB36A5" w:rsidRDefault="00202A58" w:rsidP="007D079D">
      <w:pPr>
        <w:pStyle w:val="ListParagraph"/>
        <w:numPr>
          <w:ilvl w:val="0"/>
          <w:numId w:val="5"/>
        </w:numPr>
        <w:jc w:val="both"/>
        <w:rPr>
          <w:rFonts w:asciiTheme="majorHAnsi" w:hAnsiTheme="majorHAnsi" w:cstheme="majorHAnsi"/>
          <w:lang w:val="es-PR"/>
        </w:rPr>
      </w:pPr>
      <w:r w:rsidRPr="00BB36A5">
        <w:rPr>
          <w:rFonts w:asciiTheme="majorHAnsi" w:hAnsiTheme="majorHAnsi" w:cstheme="majorHAnsi"/>
          <w:lang w:val="es-PR"/>
        </w:rPr>
        <w:t>Rápidamente abordar</w:t>
      </w:r>
      <w:r w:rsidR="00F54322" w:rsidRPr="00BB36A5">
        <w:rPr>
          <w:rFonts w:asciiTheme="majorHAnsi" w:hAnsiTheme="majorHAnsi" w:cstheme="majorHAnsi"/>
          <w:lang w:val="es-PR"/>
        </w:rPr>
        <w:t xml:space="preserve"> </w:t>
      </w:r>
      <w:r w:rsidRPr="00BB36A5">
        <w:rPr>
          <w:rFonts w:asciiTheme="majorHAnsi" w:hAnsiTheme="majorHAnsi" w:cstheme="majorHAnsi"/>
          <w:lang w:val="es-PR"/>
        </w:rPr>
        <w:t>cualquier incumplimiento identificado</w:t>
      </w:r>
      <w:r w:rsidR="00F54322" w:rsidRPr="00BB36A5">
        <w:rPr>
          <w:rFonts w:asciiTheme="majorHAnsi" w:hAnsiTheme="majorHAnsi" w:cstheme="majorHAnsi"/>
          <w:lang w:val="es-PR"/>
        </w:rPr>
        <w:t>, inclu</w:t>
      </w:r>
      <w:r w:rsidRPr="00BB36A5">
        <w:rPr>
          <w:rFonts w:asciiTheme="majorHAnsi" w:hAnsiTheme="majorHAnsi" w:cstheme="majorHAnsi"/>
          <w:lang w:val="es-PR"/>
        </w:rPr>
        <w:t>yendo señalamientos encontrados en auditorias o monitorias</w:t>
      </w:r>
      <w:r w:rsidR="00F54322" w:rsidRPr="00BB36A5">
        <w:rPr>
          <w:rFonts w:asciiTheme="majorHAnsi" w:hAnsiTheme="majorHAnsi" w:cstheme="majorHAnsi"/>
          <w:lang w:val="es-PR"/>
        </w:rPr>
        <w:t xml:space="preserve">. </w:t>
      </w:r>
    </w:p>
    <w:p w14:paraId="2BA4AF23" w14:textId="12F4DA13" w:rsidR="00202A58" w:rsidRPr="00BB36A5" w:rsidRDefault="00202A58" w:rsidP="005B5C47">
      <w:pPr>
        <w:pStyle w:val="ListParagraph"/>
        <w:numPr>
          <w:ilvl w:val="0"/>
          <w:numId w:val="5"/>
        </w:numPr>
        <w:jc w:val="both"/>
        <w:rPr>
          <w:rFonts w:asciiTheme="majorHAnsi" w:hAnsiTheme="majorHAnsi" w:cstheme="majorHAnsi"/>
          <w:lang w:val="es-PR"/>
        </w:rPr>
      </w:pPr>
      <w:r w:rsidRPr="00BB36A5">
        <w:rPr>
          <w:rFonts w:asciiTheme="majorHAnsi" w:hAnsiTheme="majorHAnsi" w:cstheme="majorHAnsi"/>
          <w:lang w:val="es-PR"/>
        </w:rPr>
        <w:t>Tomar medidas razonables para proteger la información sensible o de identificación personal (de acuerdo con las leyes referentes a la privacidad y la confidencialidad).</w:t>
      </w:r>
    </w:p>
    <w:p w14:paraId="0A499DD3" w14:textId="77777777" w:rsidR="00202A58" w:rsidRPr="00BB36A5" w:rsidRDefault="00202A58" w:rsidP="005B5C47">
      <w:pPr>
        <w:jc w:val="both"/>
        <w:rPr>
          <w:rFonts w:asciiTheme="majorHAnsi" w:hAnsiTheme="majorHAnsi" w:cstheme="majorHAnsi"/>
          <w:lang w:val="es-PR"/>
        </w:rPr>
      </w:pPr>
    </w:p>
    <w:p w14:paraId="4EEA7053" w14:textId="5603787B" w:rsidR="00BE012E" w:rsidRPr="00BB36A5" w:rsidRDefault="00BE012E" w:rsidP="005B5C47">
      <w:pPr>
        <w:jc w:val="both"/>
        <w:rPr>
          <w:rFonts w:asciiTheme="majorHAnsi" w:hAnsiTheme="majorHAnsi" w:cstheme="majorHAnsi"/>
          <w:lang w:val="es-PR"/>
        </w:rPr>
      </w:pPr>
      <w:r w:rsidRPr="00BB36A5">
        <w:rPr>
          <w:rFonts w:asciiTheme="majorHAnsi" w:hAnsiTheme="majorHAnsi" w:cstheme="majorHAnsi"/>
          <w:lang w:val="es-PR"/>
        </w:rPr>
        <w:t>Un sistema eficaz de control interno proporciona una garantía razonable del logro de los objetivos de un</w:t>
      </w:r>
      <w:r w:rsidR="00CC2208" w:rsidRPr="00BB36A5">
        <w:rPr>
          <w:rFonts w:asciiTheme="majorHAnsi" w:hAnsiTheme="majorHAnsi" w:cstheme="majorHAnsi"/>
          <w:lang w:val="es-PR"/>
        </w:rPr>
        <w:t>a agencia</w:t>
      </w:r>
      <w:r w:rsidRPr="00BB36A5">
        <w:rPr>
          <w:rFonts w:asciiTheme="majorHAnsi" w:hAnsiTheme="majorHAnsi" w:cstheme="majorHAnsi"/>
          <w:lang w:val="es-PR"/>
        </w:rPr>
        <w:t xml:space="preserve"> o</w:t>
      </w:r>
      <w:r w:rsidR="00CC2208" w:rsidRPr="00BB36A5">
        <w:rPr>
          <w:rFonts w:asciiTheme="majorHAnsi" w:hAnsiTheme="majorHAnsi" w:cstheme="majorHAnsi"/>
          <w:lang w:val="es-PR"/>
        </w:rPr>
        <w:t xml:space="preserve"> entidad</w:t>
      </w:r>
      <w:r w:rsidRPr="00BB36A5">
        <w:rPr>
          <w:rFonts w:asciiTheme="majorHAnsi" w:hAnsiTheme="majorHAnsi" w:cstheme="majorHAnsi"/>
          <w:lang w:val="es-PR"/>
        </w:rPr>
        <w:t xml:space="preserve">.  Los controles internos son la primera línea de defensa y el mejor mecanismo que una agencia </w:t>
      </w:r>
      <w:r w:rsidR="00CC2208" w:rsidRPr="00BB36A5">
        <w:rPr>
          <w:rFonts w:asciiTheme="majorHAnsi" w:hAnsiTheme="majorHAnsi" w:cstheme="majorHAnsi"/>
          <w:lang w:val="es-PR"/>
        </w:rPr>
        <w:t>tiene para</w:t>
      </w:r>
      <w:r w:rsidRPr="00BB36A5">
        <w:rPr>
          <w:rFonts w:asciiTheme="majorHAnsi" w:hAnsiTheme="majorHAnsi" w:cstheme="majorHAnsi"/>
          <w:lang w:val="es-PR"/>
        </w:rPr>
        <w:t xml:space="preserve"> </w:t>
      </w:r>
      <w:r w:rsidR="00CC2208" w:rsidRPr="00BB36A5">
        <w:rPr>
          <w:rFonts w:asciiTheme="majorHAnsi" w:hAnsiTheme="majorHAnsi" w:cstheme="majorHAnsi"/>
          <w:lang w:val="es-PR"/>
        </w:rPr>
        <w:t>proteger</w:t>
      </w:r>
      <w:r w:rsidRPr="00BB36A5">
        <w:rPr>
          <w:rFonts w:asciiTheme="majorHAnsi" w:hAnsiTheme="majorHAnsi" w:cstheme="majorHAnsi"/>
          <w:lang w:val="es-PR"/>
        </w:rPr>
        <w:t xml:space="preserve"> sus activos y recursos, aunque </w:t>
      </w:r>
      <w:r w:rsidR="00CC2208" w:rsidRPr="00BB36A5">
        <w:rPr>
          <w:rFonts w:asciiTheme="majorHAnsi" w:hAnsiTheme="majorHAnsi" w:cstheme="majorHAnsi"/>
          <w:lang w:val="es-PR"/>
        </w:rPr>
        <w:t xml:space="preserve">esto </w:t>
      </w:r>
      <w:r w:rsidRPr="00BB36A5">
        <w:rPr>
          <w:rFonts w:asciiTheme="majorHAnsi" w:hAnsiTheme="majorHAnsi" w:cstheme="majorHAnsi"/>
          <w:lang w:val="es-PR"/>
        </w:rPr>
        <w:t>sólo puede</w:t>
      </w:r>
      <w:r w:rsidR="00CC2208" w:rsidRPr="00BB36A5">
        <w:rPr>
          <w:rFonts w:asciiTheme="majorHAnsi" w:hAnsiTheme="majorHAnsi" w:cstheme="majorHAnsi"/>
          <w:lang w:val="es-PR"/>
        </w:rPr>
        <w:t xml:space="preserve"> </w:t>
      </w:r>
      <w:r w:rsidRPr="00BB36A5">
        <w:rPr>
          <w:rFonts w:asciiTheme="majorHAnsi" w:hAnsiTheme="majorHAnsi" w:cstheme="majorHAnsi"/>
          <w:lang w:val="es-PR"/>
        </w:rPr>
        <w:t xml:space="preserve">proporcionar una garantía razonable, no absoluta.  Un sistema eficaz de control interno reduce, a un nivel aceptable, el riesgo de no alcanzar un objetivo.  </w:t>
      </w:r>
    </w:p>
    <w:p w14:paraId="106C0853" w14:textId="77777777" w:rsidR="00104DDD" w:rsidRPr="00BB36A5" w:rsidRDefault="00104DDD" w:rsidP="00C539FD">
      <w:pPr>
        <w:jc w:val="both"/>
        <w:rPr>
          <w:rFonts w:asciiTheme="majorHAnsi" w:hAnsiTheme="majorHAnsi" w:cstheme="majorHAnsi"/>
          <w:lang w:val="es-PR"/>
        </w:rPr>
      </w:pPr>
    </w:p>
    <w:p w14:paraId="544BF4B6" w14:textId="5D4DE58C" w:rsidR="00F54322" w:rsidRPr="00BB36A5" w:rsidRDefault="00104DDD" w:rsidP="00C539FD">
      <w:pPr>
        <w:jc w:val="both"/>
        <w:rPr>
          <w:rFonts w:asciiTheme="majorHAnsi" w:hAnsiTheme="majorHAnsi" w:cstheme="majorHAnsi"/>
        </w:rPr>
      </w:pPr>
      <w:proofErr w:type="spellStart"/>
      <w:r w:rsidRPr="00BB36A5">
        <w:rPr>
          <w:rFonts w:asciiTheme="majorHAnsi" w:hAnsiTheme="majorHAnsi" w:cstheme="majorHAnsi"/>
        </w:rPr>
        <w:t>Requiere</w:t>
      </w:r>
      <w:proofErr w:type="spellEnd"/>
      <w:r w:rsidRPr="00BB36A5">
        <w:rPr>
          <w:rFonts w:asciiTheme="majorHAnsi" w:hAnsiTheme="majorHAnsi" w:cstheme="majorHAnsi"/>
        </w:rPr>
        <w:t xml:space="preserve"> que</w:t>
      </w:r>
      <w:r w:rsidR="00F54322" w:rsidRPr="00BB36A5">
        <w:rPr>
          <w:rFonts w:asciiTheme="majorHAnsi" w:hAnsiTheme="majorHAnsi" w:cstheme="majorHAnsi"/>
        </w:rPr>
        <w:t xml:space="preserve">: </w:t>
      </w:r>
    </w:p>
    <w:p w14:paraId="00F7DD70" w14:textId="77777777" w:rsidR="00F54322" w:rsidRPr="00BB36A5" w:rsidRDefault="00F54322" w:rsidP="00C539FD">
      <w:pPr>
        <w:jc w:val="both"/>
        <w:rPr>
          <w:rFonts w:asciiTheme="majorHAnsi" w:hAnsiTheme="majorHAnsi" w:cstheme="majorHAnsi"/>
        </w:rPr>
      </w:pPr>
    </w:p>
    <w:p w14:paraId="3FF6B3B5" w14:textId="54DC2D8E" w:rsidR="00F54322" w:rsidRPr="00BB36A5" w:rsidRDefault="00104DDD" w:rsidP="007D079D">
      <w:pPr>
        <w:pStyle w:val="ListParagraph"/>
        <w:numPr>
          <w:ilvl w:val="0"/>
          <w:numId w:val="5"/>
        </w:numPr>
        <w:jc w:val="both"/>
        <w:rPr>
          <w:rFonts w:asciiTheme="majorHAnsi" w:hAnsiTheme="majorHAnsi" w:cstheme="majorHAnsi"/>
          <w:lang w:val="es-PR"/>
        </w:rPr>
      </w:pPr>
      <w:r w:rsidRPr="00BB36A5">
        <w:rPr>
          <w:rFonts w:asciiTheme="majorHAnsi" w:hAnsiTheme="majorHAnsi" w:cstheme="majorHAnsi"/>
          <w:lang w:val="es-PR"/>
        </w:rPr>
        <w:t xml:space="preserve">Cada uno de los </w:t>
      </w:r>
      <w:r w:rsidRPr="00BB36A5">
        <w:rPr>
          <w:rFonts w:asciiTheme="majorHAnsi" w:hAnsiTheme="majorHAnsi" w:cstheme="majorHAnsi"/>
          <w:b/>
          <w:bCs/>
          <w:lang w:val="es-PR"/>
        </w:rPr>
        <w:t>cinco componentes</w:t>
      </w:r>
      <w:r w:rsidRPr="00BB36A5">
        <w:rPr>
          <w:rFonts w:asciiTheme="majorHAnsi" w:hAnsiTheme="majorHAnsi" w:cstheme="majorHAnsi"/>
          <w:lang w:val="es-PR"/>
        </w:rPr>
        <w:t xml:space="preserve"> de control interno y los principios relevantes </w:t>
      </w:r>
      <w:r w:rsidR="0097293A" w:rsidRPr="00BB36A5">
        <w:rPr>
          <w:rFonts w:asciiTheme="majorHAnsi" w:hAnsiTheme="majorHAnsi" w:cstheme="majorHAnsi"/>
          <w:lang w:val="es-PR"/>
        </w:rPr>
        <w:t>estén</w:t>
      </w:r>
      <w:r w:rsidRPr="00BB36A5">
        <w:rPr>
          <w:rFonts w:asciiTheme="majorHAnsi" w:hAnsiTheme="majorHAnsi" w:cstheme="majorHAnsi"/>
          <w:lang w:val="es-PR"/>
        </w:rPr>
        <w:t xml:space="preserve"> presente y funcionando.</w:t>
      </w:r>
      <w:r w:rsidR="00F54322" w:rsidRPr="00BB36A5">
        <w:rPr>
          <w:rFonts w:asciiTheme="majorHAnsi" w:hAnsiTheme="majorHAnsi" w:cstheme="majorHAnsi"/>
          <w:lang w:val="es-PR"/>
        </w:rPr>
        <w:t xml:space="preserve"> </w:t>
      </w:r>
    </w:p>
    <w:p w14:paraId="7658EC10" w14:textId="575EE914" w:rsidR="00F54322" w:rsidRPr="00BB36A5" w:rsidRDefault="00104DDD" w:rsidP="007D079D">
      <w:pPr>
        <w:pStyle w:val="ListParagraph"/>
        <w:numPr>
          <w:ilvl w:val="0"/>
          <w:numId w:val="5"/>
        </w:numPr>
        <w:jc w:val="both"/>
        <w:rPr>
          <w:rFonts w:asciiTheme="majorHAnsi" w:hAnsiTheme="majorHAnsi" w:cstheme="majorHAnsi"/>
          <w:lang w:val="es-PR"/>
        </w:rPr>
      </w:pPr>
      <w:r w:rsidRPr="00BB36A5">
        <w:rPr>
          <w:rFonts w:asciiTheme="majorHAnsi" w:hAnsiTheme="majorHAnsi" w:cstheme="majorHAnsi"/>
          <w:lang w:val="es-PR"/>
        </w:rPr>
        <w:t>Los cinco componentes funcionen juntos y de forma integrada</w:t>
      </w:r>
      <w:r w:rsidR="00F54322" w:rsidRPr="00BB36A5">
        <w:rPr>
          <w:rFonts w:asciiTheme="majorHAnsi" w:hAnsiTheme="majorHAnsi" w:cstheme="majorHAnsi"/>
          <w:lang w:val="es-PR"/>
        </w:rPr>
        <w:t>.</w:t>
      </w:r>
    </w:p>
    <w:p w14:paraId="1B07D589" w14:textId="16979B59" w:rsidR="00104DDD" w:rsidRPr="00BB36A5" w:rsidRDefault="00104DDD" w:rsidP="00C539FD">
      <w:pPr>
        <w:pStyle w:val="Default"/>
        <w:spacing w:after="9"/>
        <w:jc w:val="both"/>
        <w:rPr>
          <w:rFonts w:asciiTheme="majorHAnsi" w:hAnsiTheme="majorHAnsi" w:cstheme="majorHAnsi"/>
          <w:color w:val="auto"/>
          <w:lang w:val="es-PR"/>
        </w:rPr>
      </w:pPr>
    </w:p>
    <w:p w14:paraId="512F701C" w14:textId="23ECC6A7" w:rsidR="00104DDD" w:rsidRPr="00BB36A5" w:rsidRDefault="00104DDD" w:rsidP="00C539FD">
      <w:pPr>
        <w:pStyle w:val="Default"/>
        <w:spacing w:after="9"/>
        <w:jc w:val="both"/>
        <w:rPr>
          <w:rFonts w:asciiTheme="majorHAnsi" w:hAnsiTheme="majorHAnsi" w:cstheme="majorHAnsi"/>
          <w:color w:val="auto"/>
          <w:lang w:val="es-PR"/>
        </w:rPr>
      </w:pPr>
    </w:p>
    <w:p w14:paraId="4D8DBE66" w14:textId="77777777" w:rsidR="00104DDD" w:rsidRPr="00BB36A5" w:rsidRDefault="00104DDD" w:rsidP="00C539FD">
      <w:pPr>
        <w:pStyle w:val="Default"/>
        <w:spacing w:after="9"/>
        <w:jc w:val="both"/>
        <w:rPr>
          <w:rFonts w:asciiTheme="majorHAnsi" w:hAnsiTheme="majorHAnsi" w:cstheme="majorHAnsi"/>
          <w:color w:val="auto"/>
          <w:lang w:val="es-PR"/>
        </w:rPr>
      </w:pPr>
    </w:p>
    <w:p w14:paraId="00439328" w14:textId="25C15DEC" w:rsidR="004F6423" w:rsidRPr="00BB36A5" w:rsidRDefault="00504B8B" w:rsidP="00C539FD">
      <w:pPr>
        <w:pStyle w:val="Heading2"/>
        <w:jc w:val="both"/>
        <w:rPr>
          <w:rFonts w:cstheme="majorHAnsi"/>
          <w:sz w:val="24"/>
          <w:szCs w:val="24"/>
          <w:lang w:val="es-PR"/>
        </w:rPr>
      </w:pPr>
      <w:r w:rsidRPr="00BB36A5">
        <w:rPr>
          <w:rFonts w:cstheme="majorHAnsi"/>
          <w:sz w:val="24"/>
          <w:szCs w:val="24"/>
          <w:lang w:val="es-PR"/>
        </w:rPr>
        <w:t>Requerimientos de Cumplimiento sobre los fondos</w:t>
      </w:r>
      <w:r w:rsidR="004F6423" w:rsidRPr="00BB36A5">
        <w:rPr>
          <w:rFonts w:cstheme="majorHAnsi"/>
          <w:sz w:val="24"/>
          <w:szCs w:val="24"/>
          <w:lang w:val="es-PR"/>
        </w:rPr>
        <w:t xml:space="preserve"> </w:t>
      </w:r>
      <w:r w:rsidR="004F6423" w:rsidRPr="00BB36A5">
        <w:rPr>
          <w:rFonts w:cstheme="majorHAnsi"/>
          <w:i/>
          <w:iCs/>
          <w:sz w:val="24"/>
          <w:szCs w:val="24"/>
          <w:lang w:val="es-PR"/>
        </w:rPr>
        <w:t>RESTART</w:t>
      </w:r>
      <w:r w:rsidR="002C3A02" w:rsidRPr="00BB36A5">
        <w:rPr>
          <w:rFonts w:cstheme="majorHAnsi"/>
          <w:sz w:val="24"/>
          <w:szCs w:val="24"/>
          <w:lang w:val="es-PR"/>
        </w:rPr>
        <w:t>:</w:t>
      </w:r>
    </w:p>
    <w:p w14:paraId="45A1D5B7" w14:textId="4C38EE76" w:rsidR="00B67E90" w:rsidRPr="00BB36A5" w:rsidRDefault="00B67E90" w:rsidP="00C539FD">
      <w:pPr>
        <w:pStyle w:val="NormalWeb"/>
        <w:spacing w:before="0" w:beforeAutospacing="0" w:after="150" w:afterAutospacing="0"/>
        <w:jc w:val="both"/>
        <w:rPr>
          <w:rFonts w:asciiTheme="majorHAnsi" w:hAnsiTheme="majorHAnsi" w:cstheme="majorHAnsi"/>
          <w:lang w:val="es-PR"/>
        </w:rPr>
      </w:pPr>
      <w:r w:rsidRPr="00BB36A5">
        <w:rPr>
          <w:rFonts w:asciiTheme="majorHAnsi" w:hAnsiTheme="majorHAnsi" w:cstheme="majorHAnsi"/>
          <w:lang w:val="es-PR"/>
        </w:rPr>
        <w:t xml:space="preserve">Cada año, la Oficina de Gerencia y Presupuesto </w:t>
      </w:r>
      <w:r w:rsidR="0002336E" w:rsidRPr="00BB36A5">
        <w:rPr>
          <w:rFonts w:asciiTheme="majorHAnsi" w:hAnsiTheme="majorHAnsi" w:cstheme="majorHAnsi"/>
          <w:lang w:val="es-PR"/>
        </w:rPr>
        <w:t xml:space="preserve">federal </w:t>
      </w:r>
      <w:r w:rsidRPr="00BB36A5">
        <w:rPr>
          <w:rFonts w:asciiTheme="majorHAnsi" w:hAnsiTheme="majorHAnsi" w:cstheme="majorHAnsi"/>
          <w:lang w:val="es-PR"/>
        </w:rPr>
        <w:t>(</w:t>
      </w:r>
      <w:r w:rsidR="0002336E" w:rsidRPr="00BB36A5">
        <w:rPr>
          <w:rFonts w:asciiTheme="majorHAnsi" w:hAnsiTheme="majorHAnsi" w:cstheme="majorHAnsi"/>
          <w:lang w:val="es-PR"/>
        </w:rPr>
        <w:t xml:space="preserve"> OGP o OMB, por sus siglas en inglés</w:t>
      </w:r>
      <w:r w:rsidRPr="00BB36A5">
        <w:rPr>
          <w:rFonts w:asciiTheme="majorHAnsi" w:hAnsiTheme="majorHAnsi" w:cstheme="majorHAnsi"/>
          <w:lang w:val="es-PR"/>
        </w:rPr>
        <w:t xml:space="preserve">) emite el </w:t>
      </w:r>
      <w:hyperlink r:id="rId12" w:tgtFrame="_blank" w:history="1">
        <w:r w:rsidRPr="00BB36A5">
          <w:rPr>
            <w:rStyle w:val="Hyperlink"/>
            <w:rFonts w:asciiTheme="majorHAnsi" w:hAnsiTheme="majorHAnsi" w:cstheme="majorHAnsi"/>
            <w:b/>
            <w:bCs/>
            <w:color w:val="auto"/>
            <w:lang w:val="es-PR"/>
          </w:rPr>
          <w:t>2 CFR Part</w:t>
        </w:r>
        <w:r w:rsidR="00137764" w:rsidRPr="00BB36A5">
          <w:rPr>
            <w:rStyle w:val="Hyperlink"/>
            <w:rFonts w:asciiTheme="majorHAnsi" w:hAnsiTheme="majorHAnsi" w:cstheme="majorHAnsi"/>
            <w:b/>
            <w:bCs/>
            <w:color w:val="auto"/>
            <w:lang w:val="es-PR"/>
          </w:rPr>
          <w:t>e</w:t>
        </w:r>
        <w:r w:rsidRPr="00BB36A5">
          <w:rPr>
            <w:rStyle w:val="Hyperlink"/>
            <w:rFonts w:asciiTheme="majorHAnsi" w:hAnsiTheme="majorHAnsi" w:cstheme="majorHAnsi"/>
            <w:b/>
            <w:bCs/>
            <w:color w:val="auto"/>
            <w:lang w:val="es-PR"/>
          </w:rPr>
          <w:t xml:space="preserve"> 200, </w:t>
        </w:r>
        <w:r w:rsidR="00137764" w:rsidRPr="00BB36A5">
          <w:rPr>
            <w:rStyle w:val="Hyperlink"/>
            <w:rFonts w:asciiTheme="majorHAnsi" w:hAnsiTheme="majorHAnsi" w:cstheme="majorHAnsi"/>
            <w:b/>
            <w:bCs/>
            <w:color w:val="auto"/>
            <w:lang w:val="es-PR"/>
          </w:rPr>
          <w:t>Apéndice</w:t>
        </w:r>
        <w:r w:rsidRPr="00BB36A5">
          <w:rPr>
            <w:rStyle w:val="Hyperlink"/>
            <w:rFonts w:asciiTheme="majorHAnsi" w:hAnsiTheme="majorHAnsi" w:cstheme="majorHAnsi"/>
            <w:b/>
            <w:bCs/>
            <w:color w:val="auto"/>
            <w:lang w:val="es-PR"/>
          </w:rPr>
          <w:t xml:space="preserve"> XI Suplemento de Cumplimiento (</w:t>
        </w:r>
        <w:proofErr w:type="spellStart"/>
        <w:r w:rsidRPr="00BB36A5">
          <w:rPr>
            <w:rStyle w:val="Hyperlink"/>
            <w:rFonts w:asciiTheme="majorHAnsi" w:hAnsiTheme="majorHAnsi" w:cstheme="majorHAnsi"/>
            <w:b/>
            <w:bCs/>
            <w:color w:val="auto"/>
            <w:lang w:val="es-PR"/>
          </w:rPr>
          <w:t>Compliance</w:t>
        </w:r>
        <w:proofErr w:type="spellEnd"/>
        <w:r w:rsidRPr="00BB36A5">
          <w:rPr>
            <w:rStyle w:val="Hyperlink"/>
            <w:rFonts w:asciiTheme="majorHAnsi" w:hAnsiTheme="majorHAnsi" w:cstheme="majorHAnsi"/>
            <w:b/>
            <w:bCs/>
            <w:color w:val="auto"/>
            <w:lang w:val="es-PR"/>
          </w:rPr>
          <w:t xml:space="preserve"> </w:t>
        </w:r>
        <w:proofErr w:type="spellStart"/>
        <w:r w:rsidRPr="00BB36A5">
          <w:rPr>
            <w:rStyle w:val="Hyperlink"/>
            <w:rFonts w:asciiTheme="majorHAnsi" w:hAnsiTheme="majorHAnsi" w:cstheme="majorHAnsi"/>
            <w:b/>
            <w:bCs/>
            <w:color w:val="auto"/>
            <w:lang w:val="es-PR"/>
          </w:rPr>
          <w:t>Supplement</w:t>
        </w:r>
        <w:proofErr w:type="spellEnd"/>
        <w:r w:rsidRPr="00BB36A5">
          <w:rPr>
            <w:rStyle w:val="FootnoteReference"/>
            <w:rFonts w:asciiTheme="majorHAnsi" w:hAnsiTheme="majorHAnsi" w:cstheme="majorHAnsi"/>
            <w:b/>
            <w:bCs/>
            <w:u w:val="single"/>
          </w:rPr>
          <w:footnoteReference w:id="6"/>
        </w:r>
        <w:r w:rsidRPr="00BB36A5">
          <w:rPr>
            <w:rStyle w:val="Hyperlink"/>
            <w:rFonts w:asciiTheme="majorHAnsi" w:hAnsiTheme="majorHAnsi" w:cstheme="majorHAnsi"/>
            <w:b/>
            <w:bCs/>
            <w:color w:val="auto"/>
            <w:lang w:val="es-PR"/>
          </w:rPr>
          <w:t>)</w:t>
        </w:r>
      </w:hyperlink>
      <w:r w:rsidRPr="00BB36A5">
        <w:rPr>
          <w:rFonts w:asciiTheme="majorHAnsi" w:hAnsiTheme="majorHAnsi" w:cstheme="majorHAnsi"/>
          <w:lang w:val="es-PR"/>
        </w:rPr>
        <w:t>. El Suplemento de Cumplimiento pro</w:t>
      </w:r>
      <w:r w:rsidR="00137764" w:rsidRPr="00BB36A5">
        <w:rPr>
          <w:rFonts w:asciiTheme="majorHAnsi" w:hAnsiTheme="majorHAnsi" w:cstheme="majorHAnsi"/>
          <w:lang w:val="es-PR"/>
        </w:rPr>
        <w:t>vee</w:t>
      </w:r>
      <w:r w:rsidRPr="00BB36A5">
        <w:rPr>
          <w:rFonts w:asciiTheme="majorHAnsi" w:hAnsiTheme="majorHAnsi" w:cstheme="majorHAnsi"/>
          <w:lang w:val="es-PR"/>
        </w:rPr>
        <w:t xml:space="preserve"> </w:t>
      </w:r>
      <w:r w:rsidR="00137764" w:rsidRPr="00BB36A5">
        <w:rPr>
          <w:rFonts w:asciiTheme="majorHAnsi" w:hAnsiTheme="majorHAnsi" w:cstheme="majorHAnsi"/>
          <w:lang w:val="es-PR"/>
        </w:rPr>
        <w:t>guía a seguir para los</w:t>
      </w:r>
      <w:r w:rsidRPr="00BB36A5">
        <w:rPr>
          <w:rFonts w:asciiTheme="majorHAnsi" w:hAnsiTheme="majorHAnsi" w:cstheme="majorHAnsi"/>
          <w:lang w:val="es-PR"/>
        </w:rPr>
        <w:t xml:space="preserve"> monitores y auditores </w:t>
      </w:r>
      <w:r w:rsidR="00137764" w:rsidRPr="00BB36A5">
        <w:rPr>
          <w:rFonts w:asciiTheme="majorHAnsi" w:hAnsiTheme="majorHAnsi" w:cstheme="majorHAnsi"/>
          <w:lang w:val="es-PR"/>
        </w:rPr>
        <w:t>al momento de</w:t>
      </w:r>
      <w:r w:rsidRPr="00BB36A5">
        <w:rPr>
          <w:rFonts w:asciiTheme="majorHAnsi" w:hAnsiTheme="majorHAnsi" w:cstheme="majorHAnsi"/>
          <w:lang w:val="es-PR"/>
        </w:rPr>
        <w:t xml:space="preserve"> realizar una Auditoría</w:t>
      </w:r>
      <w:r w:rsidR="00137764" w:rsidRPr="00BB36A5">
        <w:rPr>
          <w:rFonts w:asciiTheme="majorHAnsi" w:hAnsiTheme="majorHAnsi" w:cstheme="majorHAnsi"/>
          <w:lang w:val="es-PR"/>
        </w:rPr>
        <w:t xml:space="preserve"> </w:t>
      </w:r>
      <w:r w:rsidR="00137764" w:rsidRPr="00BB36A5">
        <w:rPr>
          <w:rFonts w:asciiTheme="majorHAnsi" w:hAnsiTheme="majorHAnsi" w:cstheme="majorHAnsi"/>
          <w:i/>
          <w:iCs/>
          <w:lang w:val="es-PR"/>
        </w:rPr>
        <w:t>“Single Audit”</w:t>
      </w:r>
      <w:r w:rsidRPr="00BB36A5">
        <w:rPr>
          <w:rFonts w:asciiTheme="majorHAnsi" w:hAnsiTheme="majorHAnsi" w:cstheme="majorHAnsi"/>
          <w:lang w:val="es-PR"/>
        </w:rPr>
        <w:t xml:space="preserve"> (establecida en virtud de la Ley de </w:t>
      </w:r>
      <w:r w:rsidR="00137764" w:rsidRPr="00BB36A5">
        <w:rPr>
          <w:rFonts w:asciiTheme="majorHAnsi" w:hAnsiTheme="majorHAnsi" w:cstheme="majorHAnsi"/>
          <w:i/>
          <w:iCs/>
          <w:lang w:val="es-PR"/>
        </w:rPr>
        <w:t>Single Audit</w:t>
      </w:r>
      <w:r w:rsidRPr="00BB36A5">
        <w:rPr>
          <w:rFonts w:asciiTheme="majorHAnsi" w:hAnsiTheme="majorHAnsi" w:cstheme="majorHAnsi"/>
          <w:lang w:val="es-PR"/>
        </w:rPr>
        <w:t xml:space="preserve"> de</w:t>
      </w:r>
      <w:r w:rsidR="00137764" w:rsidRPr="00BB36A5">
        <w:rPr>
          <w:rFonts w:asciiTheme="majorHAnsi" w:hAnsiTheme="majorHAnsi" w:cstheme="majorHAnsi"/>
          <w:lang w:val="es-PR"/>
        </w:rPr>
        <w:t>l</w:t>
      </w:r>
      <w:r w:rsidRPr="00BB36A5">
        <w:rPr>
          <w:rFonts w:asciiTheme="majorHAnsi" w:hAnsiTheme="majorHAnsi" w:cstheme="majorHAnsi"/>
          <w:lang w:val="es-PR"/>
        </w:rPr>
        <w:t xml:space="preserve"> 1984) y explica cómo probar los diversos requisitos de cumplimiento aplicables.</w:t>
      </w:r>
    </w:p>
    <w:p w14:paraId="59213CD9" w14:textId="3F210F44" w:rsidR="00137764" w:rsidRPr="00BB36A5" w:rsidRDefault="00137764" w:rsidP="00C539FD">
      <w:pPr>
        <w:pStyle w:val="NormalWeb"/>
        <w:spacing w:before="0" w:beforeAutospacing="0" w:after="150" w:afterAutospacing="0"/>
        <w:jc w:val="both"/>
        <w:rPr>
          <w:rFonts w:asciiTheme="majorHAnsi" w:hAnsiTheme="majorHAnsi" w:cstheme="majorHAnsi"/>
          <w:lang w:val="es-PR"/>
        </w:rPr>
      </w:pPr>
      <w:r w:rsidRPr="00BB36A5">
        <w:rPr>
          <w:rFonts w:asciiTheme="majorHAnsi" w:hAnsiTheme="majorHAnsi" w:cstheme="majorHAnsi"/>
          <w:lang w:val="es-PR"/>
        </w:rPr>
        <w:t xml:space="preserve">Cada año, el Suplemento de Cumplimiento es actualizado tanto por la OGP como por las agencias federales relacionadas que emiten fondos que están bajo Auditorías de </w:t>
      </w:r>
      <w:r w:rsidRPr="00BB36A5">
        <w:rPr>
          <w:rFonts w:asciiTheme="majorHAnsi" w:hAnsiTheme="majorHAnsi" w:cstheme="majorHAnsi"/>
          <w:i/>
          <w:iCs/>
          <w:lang w:val="es-PR"/>
        </w:rPr>
        <w:t>Single Audit</w:t>
      </w:r>
      <w:r w:rsidRPr="00BB36A5">
        <w:rPr>
          <w:rFonts w:asciiTheme="majorHAnsi" w:hAnsiTheme="majorHAnsi" w:cstheme="majorHAnsi"/>
          <w:lang w:val="es-PR"/>
        </w:rPr>
        <w:t>. En 2018, la OGP lanzó una versión resumida del Suplemento de Cumplimiento que incluía sólo cambios en el suplemento. Por lo tanto, los auditores tuvieron que utilizar los Suplementos de Cumplimiento del 2017 y 2018 conjuntamente al realizar las auditorías.</w:t>
      </w:r>
    </w:p>
    <w:p w14:paraId="04B7A33B" w14:textId="079C93D4" w:rsidR="00B67E90" w:rsidRPr="00BB36A5" w:rsidRDefault="00137764" w:rsidP="00C539FD">
      <w:pPr>
        <w:pStyle w:val="NormalWeb"/>
        <w:spacing w:before="0" w:beforeAutospacing="0" w:after="150" w:afterAutospacing="0"/>
        <w:jc w:val="both"/>
        <w:rPr>
          <w:rFonts w:asciiTheme="majorHAnsi" w:hAnsiTheme="majorHAnsi" w:cstheme="majorHAnsi"/>
          <w:lang w:val="es-PR"/>
        </w:rPr>
      </w:pPr>
      <w:r w:rsidRPr="00BB36A5">
        <w:rPr>
          <w:rFonts w:asciiTheme="majorHAnsi" w:hAnsiTheme="majorHAnsi" w:cstheme="majorHAnsi"/>
          <w:lang w:val="es-PR"/>
        </w:rPr>
        <w:t xml:space="preserve">El Suplemento de Cumplimiento del 2019, lanzado en julio de 2019, volvió al suplemento completo </w:t>
      </w:r>
      <w:r w:rsidR="003864DF" w:rsidRPr="00BB36A5">
        <w:rPr>
          <w:rFonts w:asciiTheme="majorHAnsi" w:hAnsiTheme="majorHAnsi" w:cstheme="majorHAnsi"/>
          <w:lang w:val="es-PR"/>
        </w:rPr>
        <w:t>resaltando</w:t>
      </w:r>
      <w:r w:rsidRPr="00BB36A5">
        <w:rPr>
          <w:rFonts w:asciiTheme="majorHAnsi" w:hAnsiTheme="majorHAnsi" w:cstheme="majorHAnsi"/>
          <w:lang w:val="es-PR"/>
        </w:rPr>
        <w:t xml:space="preserve"> los cambios clave</w:t>
      </w:r>
      <w:r w:rsidR="003864DF" w:rsidRPr="00BB36A5">
        <w:rPr>
          <w:rFonts w:asciiTheme="majorHAnsi" w:hAnsiTheme="majorHAnsi" w:cstheme="majorHAnsi"/>
          <w:lang w:val="es-PR"/>
        </w:rPr>
        <w:t>s</w:t>
      </w:r>
      <w:r w:rsidRPr="00BB36A5">
        <w:rPr>
          <w:rFonts w:asciiTheme="majorHAnsi" w:hAnsiTheme="majorHAnsi" w:cstheme="majorHAnsi"/>
          <w:lang w:val="es-PR"/>
        </w:rPr>
        <w:t xml:space="preserve"> dentro del mismo. Algunos de los cambios más significativos incluyen el requisito de que las agencias federales reduzcan las áreas de cumplimiento aplicables de 12 a 6, y la adición de controles internos. Este suplemento se aplica para los años fiscales a partir de</w:t>
      </w:r>
      <w:r w:rsidR="00A46CF9" w:rsidRPr="00BB36A5">
        <w:rPr>
          <w:rFonts w:asciiTheme="majorHAnsi" w:hAnsiTheme="majorHAnsi" w:cstheme="majorHAnsi"/>
          <w:lang w:val="es-PR"/>
        </w:rPr>
        <w:t>l 20 de</w:t>
      </w:r>
      <w:r w:rsidRPr="00BB36A5">
        <w:rPr>
          <w:rFonts w:asciiTheme="majorHAnsi" w:hAnsiTheme="majorHAnsi" w:cstheme="majorHAnsi"/>
          <w:lang w:val="es-PR"/>
        </w:rPr>
        <w:t xml:space="preserve"> junio </w:t>
      </w:r>
      <w:r w:rsidR="00A46CF9" w:rsidRPr="00BB36A5">
        <w:rPr>
          <w:rFonts w:asciiTheme="majorHAnsi" w:hAnsiTheme="majorHAnsi" w:cstheme="majorHAnsi"/>
          <w:lang w:val="es-PR"/>
        </w:rPr>
        <w:t xml:space="preserve">de </w:t>
      </w:r>
      <w:r w:rsidRPr="00BB36A5">
        <w:rPr>
          <w:rFonts w:asciiTheme="majorHAnsi" w:hAnsiTheme="majorHAnsi" w:cstheme="majorHAnsi"/>
          <w:lang w:val="es-PR"/>
        </w:rPr>
        <w:t xml:space="preserve">2018. </w:t>
      </w:r>
      <w:r w:rsidR="00A46CF9" w:rsidRPr="00BB36A5">
        <w:rPr>
          <w:rFonts w:asciiTheme="majorHAnsi" w:hAnsiTheme="majorHAnsi" w:cstheme="majorHAnsi"/>
          <w:lang w:val="es-PR"/>
        </w:rPr>
        <w:t>Además, r</w:t>
      </w:r>
      <w:r w:rsidRPr="00BB36A5">
        <w:rPr>
          <w:rFonts w:asciiTheme="majorHAnsi" w:hAnsiTheme="majorHAnsi" w:cstheme="majorHAnsi"/>
          <w:lang w:val="es-PR"/>
        </w:rPr>
        <w:t>eemplaza los Suplementos de Cumplimiento anteriores.</w:t>
      </w:r>
    </w:p>
    <w:p w14:paraId="77835AA4" w14:textId="1CDFDA19" w:rsidR="003837AF" w:rsidRPr="00BB36A5" w:rsidRDefault="003837AF" w:rsidP="00F5432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Al desarrollar los procedimientos de auditoría para probar el cumplimiento de los requisitos para este programa federal, el monitor de cumplimiento debe determinar, a partir de la Parte 2, "Matriz de Requisitos de Cumplimiento" del Suplemento de Cumplimiento, cuáles de los 12 tipos de requisitos de cumplimiento se han identificado como sujetos a la auditoría (señalada con una "Y" en la matriz de resumen a continuación), y luego determinar cuáles de los requisitos de cumplimiento que están sujetos a la auditoría son probables que tengan un efecto directo y material en el programa federal</w:t>
      </w:r>
      <w:r w:rsidR="0093252A"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auditado.  Para cada uno de estos requisitos de cumplimiento sujetos a la auditoría, el auditor debe utilizar la Parte 3 (que incluye detalles genéricos sobre cada requisito de cumplimiento que no sean Pruebas y Disposiciones Especiales) y este suplemento del programa (que incluye cualquier requisito específico del programa) para realizar la auditoría.  Cuando un requisito de cumplimiento se muestra en el resumen siguiente como "N", se ha identificado que no está sujeto a la auditoría.  No se espera que el oficial de cumplimiento p</w:t>
      </w:r>
      <w:r w:rsidR="00A46CF9" w:rsidRPr="00BB36A5">
        <w:rPr>
          <w:rFonts w:asciiTheme="majorHAnsi" w:hAnsiTheme="majorHAnsi" w:cstheme="majorHAnsi"/>
          <w:color w:val="auto"/>
          <w:lang w:val="es-PR"/>
        </w:rPr>
        <w:t>onga a prueba</w:t>
      </w:r>
      <w:r w:rsidR="008E463C" w:rsidRPr="00BB36A5">
        <w:rPr>
          <w:rFonts w:asciiTheme="majorHAnsi" w:hAnsiTheme="majorHAnsi" w:cstheme="majorHAnsi"/>
          <w:color w:val="auto"/>
          <w:lang w:val="es-PR"/>
        </w:rPr>
        <w:t xml:space="preserve"> o evalúe</w:t>
      </w:r>
      <w:r w:rsidRPr="00BB36A5">
        <w:rPr>
          <w:rFonts w:asciiTheme="majorHAnsi" w:hAnsiTheme="majorHAnsi" w:cstheme="majorHAnsi"/>
          <w:color w:val="auto"/>
          <w:lang w:val="es-PR"/>
        </w:rPr>
        <w:t xml:space="preserve"> los requisitos que se han observado con una </w:t>
      </w:r>
      <w:r w:rsidR="00A46CF9" w:rsidRPr="00BB36A5">
        <w:rPr>
          <w:rFonts w:asciiTheme="majorHAnsi" w:hAnsiTheme="majorHAnsi" w:cstheme="majorHAnsi"/>
          <w:color w:val="auto"/>
          <w:lang w:val="es-PR"/>
        </w:rPr>
        <w:t xml:space="preserve">nota </w:t>
      </w:r>
      <w:r w:rsidRPr="00BB36A5">
        <w:rPr>
          <w:rFonts w:asciiTheme="majorHAnsi" w:hAnsiTheme="majorHAnsi" w:cstheme="majorHAnsi"/>
          <w:color w:val="auto"/>
          <w:lang w:val="es-PR"/>
        </w:rPr>
        <w:t>"N."</w:t>
      </w:r>
    </w:p>
    <w:p w14:paraId="007A93D7" w14:textId="77777777" w:rsidR="003837AF" w:rsidRPr="00BB36A5" w:rsidRDefault="003837AF" w:rsidP="00F54322">
      <w:pPr>
        <w:pStyle w:val="Default"/>
        <w:spacing w:after="9"/>
        <w:jc w:val="both"/>
        <w:rPr>
          <w:rFonts w:asciiTheme="majorHAnsi" w:hAnsiTheme="majorHAnsi" w:cstheme="majorHAnsi"/>
          <w:color w:val="auto"/>
          <w:lang w:val="es-PR"/>
        </w:rPr>
      </w:pPr>
    </w:p>
    <w:p w14:paraId="31C4882C" w14:textId="77777777" w:rsidR="003837AF" w:rsidRPr="00BB36A5" w:rsidRDefault="003837AF" w:rsidP="00F54322">
      <w:pPr>
        <w:pStyle w:val="Default"/>
        <w:spacing w:after="9"/>
        <w:jc w:val="both"/>
        <w:rPr>
          <w:rFonts w:asciiTheme="majorHAnsi" w:hAnsiTheme="majorHAnsi" w:cstheme="majorHAnsi"/>
          <w:color w:val="auto"/>
          <w:lang w:val="es-PR"/>
        </w:rPr>
      </w:pPr>
    </w:p>
    <w:p w14:paraId="7774486D" w14:textId="77777777" w:rsidR="003837AF" w:rsidRPr="00BB36A5" w:rsidRDefault="003837AF" w:rsidP="00F54322">
      <w:pPr>
        <w:pStyle w:val="Default"/>
        <w:spacing w:after="9"/>
        <w:jc w:val="both"/>
        <w:rPr>
          <w:rFonts w:asciiTheme="majorHAnsi" w:hAnsiTheme="majorHAnsi" w:cstheme="majorHAnsi"/>
          <w:color w:val="auto"/>
          <w:lang w:val="es-PR"/>
        </w:rPr>
      </w:pPr>
    </w:p>
    <w:p w14:paraId="0707221C" w14:textId="578A3733" w:rsidR="004F6423" w:rsidRPr="00BB36A5" w:rsidRDefault="004F6423" w:rsidP="00F54322">
      <w:pPr>
        <w:pStyle w:val="Default"/>
        <w:spacing w:after="9"/>
        <w:jc w:val="both"/>
        <w:rPr>
          <w:rFonts w:asciiTheme="majorHAnsi" w:hAnsiTheme="majorHAnsi" w:cstheme="majorHAnsi"/>
          <w:color w:val="FF0000"/>
          <w:lang w:val="es-PR"/>
        </w:rPr>
      </w:pPr>
    </w:p>
    <w:p w14:paraId="6C74759E" w14:textId="3DD21626" w:rsidR="004F6423" w:rsidRPr="00BB36A5" w:rsidRDefault="004F6423" w:rsidP="00F54322">
      <w:pPr>
        <w:pStyle w:val="Default"/>
        <w:spacing w:after="9"/>
        <w:jc w:val="both"/>
        <w:rPr>
          <w:rFonts w:asciiTheme="majorHAnsi" w:hAnsiTheme="majorHAnsi" w:cstheme="majorHAnsi"/>
          <w:color w:val="FF0000"/>
        </w:rPr>
      </w:pPr>
      <w:r w:rsidRPr="00BB36A5">
        <w:rPr>
          <w:rFonts w:asciiTheme="majorHAnsi" w:hAnsiTheme="majorHAnsi" w:cstheme="majorHAnsi"/>
          <w:noProof/>
        </w:rPr>
        <w:drawing>
          <wp:inline distT="0" distB="0" distL="0" distR="0" wp14:anchorId="3FA88693" wp14:editId="625EA60D">
            <wp:extent cx="6400800" cy="24555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455545"/>
                    </a:xfrm>
                    <a:prstGeom prst="rect">
                      <a:avLst/>
                    </a:prstGeom>
                  </pic:spPr>
                </pic:pic>
              </a:graphicData>
            </a:graphic>
          </wp:inline>
        </w:drawing>
      </w:r>
    </w:p>
    <w:p w14:paraId="5AE8B276" w14:textId="46812EFD" w:rsidR="00915DD0" w:rsidRPr="00BB36A5" w:rsidRDefault="009A4A2B" w:rsidP="00C539FD">
      <w:pPr>
        <w:pStyle w:val="Heading1"/>
        <w:rPr>
          <w:rFonts w:cstheme="majorHAnsi"/>
          <w:b/>
          <w:sz w:val="24"/>
          <w:szCs w:val="24"/>
          <w:lang w:val="es-PR"/>
        </w:rPr>
      </w:pPr>
      <w:r w:rsidRPr="00BB36A5">
        <w:rPr>
          <w:rFonts w:cstheme="majorHAnsi"/>
          <w:b/>
          <w:sz w:val="24"/>
          <w:szCs w:val="24"/>
          <w:lang w:val="es-PR"/>
        </w:rPr>
        <w:t>Nivel Central</w:t>
      </w:r>
      <w:r w:rsidR="00915DD0" w:rsidRPr="00BB36A5">
        <w:rPr>
          <w:rFonts w:cstheme="majorHAnsi"/>
          <w:b/>
          <w:sz w:val="24"/>
          <w:szCs w:val="24"/>
          <w:lang w:val="es-PR"/>
        </w:rPr>
        <w:t xml:space="preserve"> –</w:t>
      </w:r>
      <w:r w:rsidR="00203BA1" w:rsidRPr="00BB36A5">
        <w:rPr>
          <w:rFonts w:cstheme="majorHAnsi"/>
          <w:b/>
          <w:sz w:val="24"/>
          <w:szCs w:val="24"/>
          <w:lang w:val="es-PR"/>
        </w:rPr>
        <w:t xml:space="preserve"> </w:t>
      </w:r>
      <w:r w:rsidRPr="00BB36A5">
        <w:rPr>
          <w:rFonts w:cstheme="majorHAnsi"/>
          <w:b/>
          <w:sz w:val="24"/>
          <w:szCs w:val="24"/>
          <w:lang w:val="es-PR"/>
        </w:rPr>
        <w:t>Políticas y</w:t>
      </w:r>
      <w:r w:rsidR="00915DD0" w:rsidRPr="00BB36A5">
        <w:rPr>
          <w:rFonts w:cstheme="majorHAnsi"/>
          <w:b/>
          <w:sz w:val="24"/>
          <w:szCs w:val="24"/>
          <w:lang w:val="es-PR"/>
        </w:rPr>
        <w:t xml:space="preserve"> Proced</w:t>
      </w:r>
      <w:r w:rsidRPr="00BB36A5">
        <w:rPr>
          <w:rFonts w:cstheme="majorHAnsi"/>
          <w:b/>
          <w:sz w:val="24"/>
          <w:szCs w:val="24"/>
          <w:lang w:val="es-PR"/>
        </w:rPr>
        <w:t>imientos</w:t>
      </w:r>
    </w:p>
    <w:p w14:paraId="2062A908" w14:textId="1DC6963F" w:rsidR="00F54322" w:rsidRPr="00BB36A5" w:rsidRDefault="00A411AE" w:rsidP="00036321">
      <w:pPr>
        <w:shd w:val="clear" w:color="auto" w:fill="FFFFFF"/>
        <w:jc w:val="both"/>
        <w:textAlignment w:val="baseline"/>
        <w:rPr>
          <w:rFonts w:asciiTheme="majorHAnsi" w:hAnsiTheme="majorHAnsi" w:cstheme="majorHAnsi"/>
          <w:lang w:val="es-PR"/>
        </w:rPr>
      </w:pPr>
      <w:r w:rsidRPr="00BB36A5">
        <w:rPr>
          <w:rFonts w:asciiTheme="majorHAnsi" w:hAnsiTheme="majorHAnsi" w:cstheme="majorHAnsi"/>
          <w:lang w:val="es-PR"/>
        </w:rPr>
        <w:t>Para cumplir con 2 C</w:t>
      </w:r>
      <w:r w:rsidR="003D3AF4" w:rsidRPr="00BB36A5">
        <w:rPr>
          <w:rFonts w:asciiTheme="majorHAnsi" w:hAnsiTheme="majorHAnsi" w:cstheme="majorHAnsi"/>
          <w:lang w:val="es-PR"/>
        </w:rPr>
        <w:t>FR</w:t>
      </w:r>
      <w:r w:rsidRPr="00BB36A5">
        <w:rPr>
          <w:rFonts w:asciiTheme="majorHAnsi" w:hAnsiTheme="majorHAnsi" w:cstheme="majorHAnsi"/>
          <w:lang w:val="es-PR"/>
        </w:rPr>
        <w:t xml:space="preserve"> 200.303, el DEPR adoptó los estándares del Comité de Organizaciones Patrocinadoras de la Comisión </w:t>
      </w:r>
      <w:proofErr w:type="spellStart"/>
      <w:r w:rsidRPr="00BB36A5">
        <w:rPr>
          <w:rFonts w:asciiTheme="majorHAnsi" w:hAnsiTheme="majorHAnsi" w:cstheme="majorHAnsi"/>
          <w:i/>
          <w:iCs/>
          <w:lang w:val="es-PR"/>
        </w:rPr>
        <w:t>Treadway</w:t>
      </w:r>
      <w:proofErr w:type="spellEnd"/>
      <w:r w:rsidRPr="00BB36A5">
        <w:rPr>
          <w:rFonts w:asciiTheme="majorHAnsi" w:hAnsiTheme="majorHAnsi" w:cstheme="majorHAnsi"/>
          <w:lang w:val="es-PR"/>
        </w:rPr>
        <w:t>, o l</w:t>
      </w:r>
      <w:r w:rsidR="00036321" w:rsidRPr="00BB36A5">
        <w:rPr>
          <w:rFonts w:asciiTheme="majorHAnsi" w:hAnsiTheme="majorHAnsi" w:cstheme="majorHAnsi"/>
          <w:lang w:val="es-PR"/>
        </w:rPr>
        <w:t>os estándares</w:t>
      </w:r>
      <w:r w:rsidRPr="00BB36A5">
        <w:rPr>
          <w:rFonts w:asciiTheme="majorHAnsi" w:hAnsiTheme="majorHAnsi" w:cstheme="majorHAnsi"/>
          <w:lang w:val="es-PR"/>
        </w:rPr>
        <w:t xml:space="preserve"> y principios de </w:t>
      </w:r>
      <w:r w:rsidR="00036321" w:rsidRPr="00BB36A5">
        <w:rPr>
          <w:rFonts w:asciiTheme="majorHAnsi" w:hAnsiTheme="majorHAnsi" w:cstheme="majorHAnsi"/>
          <w:lang w:val="es-PR"/>
        </w:rPr>
        <w:t>CO</w:t>
      </w:r>
      <w:r w:rsidRPr="00BB36A5">
        <w:rPr>
          <w:rFonts w:asciiTheme="majorHAnsi" w:hAnsiTheme="majorHAnsi" w:cstheme="majorHAnsi"/>
          <w:lang w:val="es-PR"/>
        </w:rPr>
        <w:t xml:space="preserve">SO como </w:t>
      </w:r>
      <w:r w:rsidR="00036321" w:rsidRPr="00BB36A5">
        <w:rPr>
          <w:rFonts w:asciiTheme="majorHAnsi" w:hAnsiTheme="majorHAnsi" w:cstheme="majorHAnsi"/>
          <w:lang w:val="es-PR"/>
        </w:rPr>
        <w:t>guías</w:t>
      </w:r>
      <w:r w:rsidRPr="00BB36A5">
        <w:rPr>
          <w:rFonts w:asciiTheme="majorHAnsi" w:hAnsiTheme="majorHAnsi" w:cstheme="majorHAnsi"/>
          <w:lang w:val="es-PR"/>
        </w:rPr>
        <w:t xml:space="preserve"> para su sistema de control interno (Figura 1).  Control </w:t>
      </w:r>
      <w:r w:rsidR="00036321" w:rsidRPr="00BB36A5">
        <w:rPr>
          <w:rFonts w:asciiTheme="majorHAnsi" w:hAnsiTheme="majorHAnsi" w:cstheme="majorHAnsi"/>
          <w:lang w:val="es-PR"/>
        </w:rPr>
        <w:t>I</w:t>
      </w:r>
      <w:r w:rsidRPr="00BB36A5">
        <w:rPr>
          <w:rFonts w:asciiTheme="majorHAnsi" w:hAnsiTheme="majorHAnsi" w:cstheme="majorHAnsi"/>
          <w:lang w:val="es-PR"/>
        </w:rPr>
        <w:t>nterno de COSO</w:t>
      </w:r>
      <w:r w:rsidR="00036321" w:rsidRPr="00BB36A5">
        <w:rPr>
          <w:rFonts w:asciiTheme="majorHAnsi" w:hAnsiTheme="majorHAnsi" w:cstheme="majorHAnsi"/>
          <w:lang w:val="es-PR"/>
        </w:rPr>
        <w:t>—</w:t>
      </w:r>
      <w:r w:rsidRPr="00BB36A5">
        <w:rPr>
          <w:rFonts w:asciiTheme="majorHAnsi" w:hAnsiTheme="majorHAnsi" w:cstheme="majorHAnsi"/>
          <w:lang w:val="es-PR"/>
        </w:rPr>
        <w:t xml:space="preserve">el </w:t>
      </w:r>
      <w:r w:rsidR="00036321" w:rsidRPr="00BB36A5">
        <w:rPr>
          <w:rFonts w:asciiTheme="majorHAnsi" w:hAnsiTheme="majorHAnsi" w:cstheme="majorHAnsi"/>
          <w:lang w:val="es-PR"/>
        </w:rPr>
        <w:t>M</w:t>
      </w:r>
      <w:r w:rsidRPr="00BB36A5">
        <w:rPr>
          <w:rFonts w:asciiTheme="majorHAnsi" w:hAnsiTheme="majorHAnsi" w:cstheme="majorHAnsi"/>
          <w:lang w:val="es-PR"/>
        </w:rPr>
        <w:t xml:space="preserve">arco </w:t>
      </w:r>
      <w:r w:rsidR="00036321" w:rsidRPr="00BB36A5">
        <w:rPr>
          <w:rFonts w:asciiTheme="majorHAnsi" w:hAnsiTheme="majorHAnsi" w:cstheme="majorHAnsi"/>
          <w:lang w:val="es-PR"/>
        </w:rPr>
        <w:t>I</w:t>
      </w:r>
      <w:r w:rsidRPr="00BB36A5">
        <w:rPr>
          <w:rFonts w:asciiTheme="majorHAnsi" w:hAnsiTheme="majorHAnsi" w:cstheme="majorHAnsi"/>
          <w:lang w:val="es-PR"/>
        </w:rPr>
        <w:t xml:space="preserve">ntegrado identifica cinco componentes de control interno que abarcan los diferentes pasos que </w:t>
      </w:r>
      <w:r w:rsidR="00036321" w:rsidRPr="00BB36A5">
        <w:rPr>
          <w:rFonts w:asciiTheme="majorHAnsi" w:hAnsiTheme="majorHAnsi" w:cstheme="majorHAnsi"/>
          <w:lang w:val="es-PR"/>
        </w:rPr>
        <w:t xml:space="preserve">se </w:t>
      </w:r>
      <w:r w:rsidRPr="00BB36A5">
        <w:rPr>
          <w:rFonts w:asciiTheme="majorHAnsi" w:hAnsiTheme="majorHAnsi" w:cstheme="majorHAnsi"/>
          <w:lang w:val="es-PR"/>
        </w:rPr>
        <w:t>debe</w:t>
      </w:r>
      <w:r w:rsidR="00036321" w:rsidRPr="00BB36A5">
        <w:rPr>
          <w:rFonts w:asciiTheme="majorHAnsi" w:hAnsiTheme="majorHAnsi" w:cstheme="majorHAnsi"/>
          <w:lang w:val="es-PR"/>
        </w:rPr>
        <w:t>n</w:t>
      </w:r>
      <w:r w:rsidRPr="00BB36A5">
        <w:rPr>
          <w:rFonts w:asciiTheme="majorHAnsi" w:hAnsiTheme="majorHAnsi" w:cstheme="majorHAnsi"/>
          <w:lang w:val="es-PR"/>
        </w:rPr>
        <w:t xml:space="preserve"> seguir para establecer un sistema de controles internos para nuestra organización. El Libro Verde de GAO</w:t>
      </w:r>
      <w:r w:rsidR="00036321" w:rsidRPr="00BB36A5">
        <w:rPr>
          <w:rFonts w:asciiTheme="majorHAnsi" w:hAnsiTheme="majorHAnsi" w:cstheme="majorHAnsi"/>
          <w:lang w:val="es-PR"/>
        </w:rPr>
        <w:t xml:space="preserve"> </w:t>
      </w:r>
      <w:r w:rsidR="00036321" w:rsidRPr="00BB36A5">
        <w:rPr>
          <w:rFonts w:asciiTheme="majorHAnsi" w:hAnsiTheme="majorHAnsi" w:cstheme="majorHAnsi"/>
          <w:i/>
          <w:iCs/>
          <w:lang w:val="es-PR"/>
        </w:rPr>
        <w:t>(GAO Green Book)</w:t>
      </w:r>
      <w:r w:rsidRPr="00BB36A5">
        <w:rPr>
          <w:rFonts w:asciiTheme="majorHAnsi" w:hAnsiTheme="majorHAnsi" w:cstheme="majorHAnsi"/>
          <w:lang w:val="es-PR"/>
        </w:rPr>
        <w:t xml:space="preserve"> apoya estos cinco componentes y los considera los estándares para el control interno en el gobierno federal. Como </w:t>
      </w:r>
      <w:r w:rsidR="00036321" w:rsidRPr="00BB36A5">
        <w:rPr>
          <w:rFonts w:asciiTheme="majorHAnsi" w:hAnsiTheme="majorHAnsi" w:cstheme="majorHAnsi"/>
          <w:lang w:val="es-PR"/>
        </w:rPr>
        <w:t>beneficiario</w:t>
      </w:r>
      <w:r w:rsidRPr="00BB36A5">
        <w:rPr>
          <w:rFonts w:asciiTheme="majorHAnsi" w:hAnsiTheme="majorHAnsi" w:cstheme="majorHAnsi"/>
          <w:lang w:val="es-PR"/>
        </w:rPr>
        <w:t xml:space="preserve"> de fondos federales de subvención, el personal de</w:t>
      </w:r>
      <w:r w:rsidR="00036321" w:rsidRPr="00BB36A5">
        <w:rPr>
          <w:rFonts w:asciiTheme="majorHAnsi" w:hAnsiTheme="majorHAnsi" w:cstheme="majorHAnsi"/>
          <w:lang w:val="es-PR"/>
        </w:rPr>
        <w:t xml:space="preserve">l programa </w:t>
      </w:r>
      <w:proofErr w:type="spellStart"/>
      <w:r w:rsidR="00036321" w:rsidRPr="00BB36A5">
        <w:rPr>
          <w:rFonts w:asciiTheme="majorHAnsi" w:hAnsiTheme="majorHAnsi" w:cstheme="majorHAnsi"/>
          <w:i/>
          <w:iCs/>
          <w:lang w:val="es-PR"/>
        </w:rPr>
        <w:t>Restart</w:t>
      </w:r>
      <w:proofErr w:type="spellEnd"/>
      <w:r w:rsidRPr="00BB36A5">
        <w:rPr>
          <w:rFonts w:asciiTheme="majorHAnsi" w:hAnsiTheme="majorHAnsi" w:cstheme="majorHAnsi"/>
          <w:lang w:val="es-PR"/>
        </w:rPr>
        <w:t xml:space="preserve"> está obligado a establecer controles internos.</w:t>
      </w:r>
      <w:r w:rsidR="00036321" w:rsidRPr="00BB36A5">
        <w:rPr>
          <w:rFonts w:asciiTheme="majorHAnsi" w:hAnsiTheme="majorHAnsi" w:cstheme="majorHAnsi"/>
          <w:lang w:val="es-PR"/>
        </w:rPr>
        <w:t xml:space="preserve">  </w:t>
      </w:r>
      <w:r w:rsidRPr="00BB36A5">
        <w:rPr>
          <w:rFonts w:asciiTheme="majorHAnsi" w:hAnsiTheme="majorHAnsi" w:cstheme="majorHAnsi"/>
          <w:lang w:val="es-PR"/>
        </w:rPr>
        <w:t>Aunque el personal de</w:t>
      </w:r>
      <w:r w:rsidR="00036321" w:rsidRPr="00BB36A5">
        <w:rPr>
          <w:rFonts w:asciiTheme="majorHAnsi" w:hAnsiTheme="majorHAnsi" w:cstheme="majorHAnsi"/>
          <w:lang w:val="es-PR"/>
        </w:rPr>
        <w:t xml:space="preserve">l programa </w:t>
      </w:r>
      <w:proofErr w:type="spellStart"/>
      <w:r w:rsidR="00036321" w:rsidRPr="00BB36A5">
        <w:rPr>
          <w:rFonts w:asciiTheme="majorHAnsi" w:hAnsiTheme="majorHAnsi" w:cstheme="majorHAnsi"/>
          <w:i/>
          <w:iCs/>
          <w:lang w:val="es-PR"/>
        </w:rPr>
        <w:t>Restart</w:t>
      </w:r>
      <w:proofErr w:type="spellEnd"/>
      <w:r w:rsidR="00036321" w:rsidRPr="00BB36A5">
        <w:rPr>
          <w:rFonts w:asciiTheme="majorHAnsi" w:hAnsiTheme="majorHAnsi" w:cstheme="majorHAnsi"/>
          <w:lang w:val="es-PR"/>
        </w:rPr>
        <w:t xml:space="preserve"> </w:t>
      </w:r>
      <w:r w:rsidRPr="00BB36A5">
        <w:rPr>
          <w:rFonts w:asciiTheme="majorHAnsi" w:hAnsiTheme="majorHAnsi" w:cstheme="majorHAnsi"/>
          <w:lang w:val="es-PR"/>
        </w:rPr>
        <w:t xml:space="preserve">no está obligado a utilizar el marco </w:t>
      </w:r>
      <w:r w:rsidR="00036321" w:rsidRPr="00BB36A5">
        <w:rPr>
          <w:rFonts w:asciiTheme="majorHAnsi" w:hAnsiTheme="majorHAnsi" w:cstheme="majorHAnsi"/>
          <w:lang w:val="es-PR"/>
        </w:rPr>
        <w:t xml:space="preserve">de referencia </w:t>
      </w:r>
      <w:r w:rsidRPr="00BB36A5">
        <w:rPr>
          <w:rFonts w:asciiTheme="majorHAnsi" w:hAnsiTheme="majorHAnsi" w:cstheme="majorHAnsi"/>
          <w:lang w:val="es-PR"/>
        </w:rPr>
        <w:t xml:space="preserve">desarrollado por COSO y apoyado por </w:t>
      </w:r>
      <w:r w:rsidR="00036321" w:rsidRPr="00BB36A5">
        <w:rPr>
          <w:rFonts w:asciiTheme="majorHAnsi" w:hAnsiTheme="majorHAnsi" w:cstheme="majorHAnsi"/>
          <w:lang w:val="es-PR"/>
        </w:rPr>
        <w:t>el</w:t>
      </w:r>
      <w:r w:rsidRPr="00BB36A5">
        <w:rPr>
          <w:rFonts w:asciiTheme="majorHAnsi" w:hAnsiTheme="majorHAnsi" w:cstheme="majorHAnsi"/>
          <w:lang w:val="es-PR"/>
        </w:rPr>
        <w:t xml:space="preserve"> GAO, el gobierno federal considera que el marco </w:t>
      </w:r>
      <w:r w:rsidR="00036321" w:rsidRPr="00BB36A5">
        <w:rPr>
          <w:rFonts w:asciiTheme="majorHAnsi" w:hAnsiTheme="majorHAnsi" w:cstheme="majorHAnsi"/>
          <w:lang w:val="es-PR"/>
        </w:rPr>
        <w:t xml:space="preserve">de referencia </w:t>
      </w:r>
      <w:r w:rsidRPr="00BB36A5">
        <w:rPr>
          <w:rFonts w:asciiTheme="majorHAnsi" w:hAnsiTheme="majorHAnsi" w:cstheme="majorHAnsi"/>
          <w:lang w:val="es-PR"/>
        </w:rPr>
        <w:t xml:space="preserve">es </w:t>
      </w:r>
      <w:r w:rsidR="00036321" w:rsidRPr="00BB36A5">
        <w:rPr>
          <w:rFonts w:asciiTheme="majorHAnsi" w:hAnsiTheme="majorHAnsi" w:cstheme="majorHAnsi"/>
          <w:lang w:val="es-PR"/>
        </w:rPr>
        <w:t>la</w:t>
      </w:r>
      <w:r w:rsidRPr="00BB36A5">
        <w:rPr>
          <w:rFonts w:asciiTheme="majorHAnsi" w:hAnsiTheme="majorHAnsi" w:cstheme="majorHAnsi"/>
          <w:lang w:val="es-PR"/>
        </w:rPr>
        <w:t xml:space="preserve"> "mejor práctica" para los controles internos.</w:t>
      </w:r>
    </w:p>
    <w:p w14:paraId="03FB56C6" w14:textId="67FA70AF" w:rsidR="00F54322" w:rsidRPr="00BB36A5" w:rsidRDefault="00F54322" w:rsidP="00F54322">
      <w:pPr>
        <w:pStyle w:val="Default"/>
        <w:spacing w:after="9"/>
        <w:jc w:val="center"/>
        <w:rPr>
          <w:rFonts w:asciiTheme="majorHAnsi" w:hAnsiTheme="majorHAnsi" w:cstheme="majorHAnsi"/>
          <w:color w:val="FF0000"/>
        </w:rPr>
      </w:pPr>
      <w:r w:rsidRPr="00BB36A5">
        <w:rPr>
          <w:rFonts w:asciiTheme="majorHAnsi" w:hAnsiTheme="majorHAnsi" w:cstheme="majorHAnsi"/>
          <w:noProof/>
          <w:color w:val="FF0000"/>
        </w:rPr>
        <w:lastRenderedPageBreak/>
        <w:drawing>
          <wp:inline distT="0" distB="0" distL="0" distR="0" wp14:anchorId="04A043C9" wp14:editId="13553869">
            <wp:extent cx="5219341" cy="3840648"/>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1700" cy="3901252"/>
                    </a:xfrm>
                    <a:prstGeom prst="rect">
                      <a:avLst/>
                    </a:prstGeom>
                  </pic:spPr>
                </pic:pic>
              </a:graphicData>
            </a:graphic>
          </wp:inline>
        </w:drawing>
      </w:r>
    </w:p>
    <w:p w14:paraId="0DC1D6AC" w14:textId="4CE4CC22" w:rsidR="00626C1E" w:rsidRPr="00BB36A5" w:rsidRDefault="00626C1E" w:rsidP="00F54322">
      <w:pPr>
        <w:pStyle w:val="Default"/>
        <w:spacing w:after="9"/>
        <w:jc w:val="center"/>
        <w:rPr>
          <w:rFonts w:asciiTheme="majorHAnsi" w:hAnsiTheme="majorHAnsi" w:cstheme="majorHAnsi"/>
          <w:color w:val="auto"/>
          <w:lang w:val="es-PR"/>
        </w:rPr>
      </w:pPr>
      <w:r w:rsidRPr="00BB36A5">
        <w:rPr>
          <w:rFonts w:asciiTheme="majorHAnsi" w:hAnsiTheme="majorHAnsi" w:cstheme="majorHAnsi"/>
          <w:color w:val="auto"/>
          <w:lang w:val="es-PR"/>
        </w:rPr>
        <w:t>Figure 1</w:t>
      </w:r>
    </w:p>
    <w:p w14:paraId="6C0FE355" w14:textId="2420EA2B" w:rsidR="00F54322" w:rsidRPr="00BB36A5" w:rsidRDefault="009A4A2B" w:rsidP="00C539FD">
      <w:pPr>
        <w:pStyle w:val="Heading2"/>
        <w:rPr>
          <w:rFonts w:cstheme="majorHAnsi"/>
          <w:sz w:val="24"/>
          <w:szCs w:val="24"/>
          <w:lang w:val="es-PR"/>
        </w:rPr>
      </w:pPr>
      <w:r w:rsidRPr="00BB36A5">
        <w:rPr>
          <w:rFonts w:cstheme="majorHAnsi"/>
          <w:sz w:val="24"/>
          <w:szCs w:val="24"/>
          <w:lang w:val="es-PR"/>
        </w:rPr>
        <w:t>Entorno de Controles</w:t>
      </w:r>
    </w:p>
    <w:p w14:paraId="706A5E37" w14:textId="49E9104D" w:rsidR="00606569" w:rsidRPr="00BB36A5" w:rsidRDefault="00606569" w:rsidP="00841DB4">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El entorno de control</w:t>
      </w:r>
      <w:r w:rsidR="00C800FA" w:rsidRPr="00BB36A5">
        <w:rPr>
          <w:rFonts w:asciiTheme="majorHAnsi" w:hAnsiTheme="majorHAnsi" w:cstheme="majorHAnsi"/>
          <w:color w:val="auto"/>
          <w:lang w:val="es-PR"/>
        </w:rPr>
        <w:t>es</w:t>
      </w:r>
      <w:r w:rsidRPr="00BB36A5">
        <w:rPr>
          <w:rFonts w:asciiTheme="majorHAnsi" w:hAnsiTheme="majorHAnsi" w:cstheme="majorHAnsi"/>
          <w:color w:val="auto"/>
          <w:lang w:val="es-PR"/>
        </w:rPr>
        <w:t xml:space="preserve"> es el conjunto de </w:t>
      </w:r>
      <w:r w:rsidR="00C800FA" w:rsidRPr="00BB36A5">
        <w:rPr>
          <w:rFonts w:asciiTheme="majorHAnsi" w:hAnsiTheme="majorHAnsi" w:cstheme="majorHAnsi"/>
          <w:color w:val="auto"/>
          <w:lang w:val="es-PR"/>
        </w:rPr>
        <w:t xml:space="preserve">estándares, </w:t>
      </w:r>
      <w:r w:rsidRPr="00BB36A5">
        <w:rPr>
          <w:rFonts w:asciiTheme="majorHAnsi" w:hAnsiTheme="majorHAnsi" w:cstheme="majorHAnsi"/>
          <w:color w:val="auto"/>
          <w:lang w:val="es-PR"/>
        </w:rPr>
        <w:t xml:space="preserve">normas, procesos y estructuras que proporcionan la base para llevar a cabo </w:t>
      </w:r>
      <w:r w:rsidR="00C800FA" w:rsidRPr="00BB36A5">
        <w:rPr>
          <w:rFonts w:asciiTheme="majorHAnsi" w:hAnsiTheme="majorHAnsi" w:cstheme="majorHAnsi"/>
          <w:color w:val="auto"/>
          <w:lang w:val="es-PR"/>
        </w:rPr>
        <w:t>los controles internos</w:t>
      </w:r>
      <w:r w:rsidRPr="00BB36A5">
        <w:rPr>
          <w:rFonts w:asciiTheme="majorHAnsi" w:hAnsiTheme="majorHAnsi" w:cstheme="majorHAnsi"/>
          <w:color w:val="auto"/>
          <w:lang w:val="es-PR"/>
        </w:rPr>
        <w:t xml:space="preserve"> en toda la agencia.  </w:t>
      </w:r>
      <w:r w:rsidR="00C800FA" w:rsidRPr="00BB36A5">
        <w:rPr>
          <w:rFonts w:asciiTheme="majorHAnsi" w:hAnsiTheme="majorHAnsi" w:cstheme="majorHAnsi"/>
          <w:color w:val="auto"/>
          <w:lang w:val="es-PR"/>
        </w:rPr>
        <w:t xml:space="preserve">El </w:t>
      </w:r>
      <w:r w:rsidR="008E463C" w:rsidRPr="00BB36A5">
        <w:rPr>
          <w:rFonts w:asciiTheme="majorHAnsi" w:hAnsiTheme="majorHAnsi" w:cstheme="majorHAnsi"/>
          <w:color w:val="auto"/>
          <w:lang w:val="es-PR"/>
        </w:rPr>
        <w:t>p</w:t>
      </w:r>
      <w:r w:rsidR="00C800FA" w:rsidRPr="00BB36A5">
        <w:rPr>
          <w:rFonts w:asciiTheme="majorHAnsi" w:hAnsiTheme="majorHAnsi" w:cstheme="majorHAnsi"/>
          <w:color w:val="auto"/>
          <w:lang w:val="es-PR"/>
        </w:rPr>
        <w:t xml:space="preserve">ersonal de </w:t>
      </w:r>
      <w:proofErr w:type="spellStart"/>
      <w:r w:rsidRPr="00BB36A5">
        <w:rPr>
          <w:rFonts w:asciiTheme="majorHAnsi" w:hAnsiTheme="majorHAnsi" w:cstheme="majorHAnsi"/>
          <w:i/>
          <w:iCs/>
          <w:color w:val="auto"/>
          <w:lang w:val="es-PR"/>
        </w:rPr>
        <w:t>Restart</w:t>
      </w:r>
      <w:proofErr w:type="spellEnd"/>
      <w:r w:rsidRPr="00BB36A5">
        <w:rPr>
          <w:rFonts w:asciiTheme="majorHAnsi" w:hAnsiTheme="majorHAnsi" w:cstheme="majorHAnsi"/>
          <w:i/>
          <w:iCs/>
          <w:color w:val="auto"/>
          <w:lang w:val="es-PR"/>
        </w:rPr>
        <w:t xml:space="preserve"> </w:t>
      </w:r>
      <w:r w:rsidRPr="00BB36A5">
        <w:rPr>
          <w:rFonts w:asciiTheme="majorHAnsi" w:hAnsiTheme="majorHAnsi" w:cstheme="majorHAnsi"/>
          <w:color w:val="auto"/>
          <w:lang w:val="es-PR"/>
        </w:rPr>
        <w:t>demostrará una actitud positiva hacia el cumplimiento</w:t>
      </w:r>
      <w:r w:rsidR="008E463C" w:rsidRPr="00BB36A5">
        <w:rPr>
          <w:rFonts w:asciiTheme="majorHAnsi" w:hAnsiTheme="majorHAnsi" w:cstheme="majorHAnsi"/>
          <w:color w:val="auto"/>
          <w:lang w:val="es-PR"/>
        </w:rPr>
        <w:t xml:space="preserve"> y</w:t>
      </w:r>
      <w:r w:rsidRPr="00BB36A5">
        <w:rPr>
          <w:rFonts w:asciiTheme="majorHAnsi" w:hAnsiTheme="majorHAnsi" w:cstheme="majorHAnsi"/>
          <w:color w:val="auto"/>
          <w:lang w:val="es-PR"/>
        </w:rPr>
        <w:t xml:space="preserve"> una actitud </w:t>
      </w:r>
      <w:r w:rsidR="00C800FA" w:rsidRPr="00BB36A5">
        <w:rPr>
          <w:rFonts w:asciiTheme="majorHAnsi" w:hAnsiTheme="majorHAnsi" w:cstheme="majorHAnsi"/>
          <w:color w:val="auto"/>
          <w:lang w:val="es-PR"/>
        </w:rPr>
        <w:t xml:space="preserve">ejemplar como parte </w:t>
      </w:r>
      <w:r w:rsidR="008B5068" w:rsidRPr="00BB36A5">
        <w:rPr>
          <w:rFonts w:asciiTheme="majorHAnsi" w:hAnsiTheme="majorHAnsi" w:cstheme="majorHAnsi"/>
          <w:color w:val="auto"/>
          <w:lang w:val="es-PR"/>
        </w:rPr>
        <w:t>del programa</w:t>
      </w:r>
      <w:r w:rsidRPr="00BB36A5">
        <w:rPr>
          <w:rFonts w:asciiTheme="majorHAnsi" w:hAnsiTheme="majorHAnsi" w:cstheme="majorHAnsi"/>
          <w:color w:val="auto"/>
          <w:lang w:val="es-PR"/>
        </w:rPr>
        <w:t>. El personal de administración de</w:t>
      </w:r>
      <w:r w:rsidR="00C800FA" w:rsidRPr="00BB36A5">
        <w:rPr>
          <w:rFonts w:asciiTheme="majorHAnsi" w:hAnsiTheme="majorHAnsi" w:cstheme="majorHAnsi"/>
          <w:color w:val="auto"/>
          <w:lang w:val="es-PR"/>
        </w:rPr>
        <w:t>l</w:t>
      </w:r>
      <w:r w:rsidRPr="00BB36A5">
        <w:rPr>
          <w:rFonts w:asciiTheme="majorHAnsi" w:hAnsiTheme="majorHAnsi" w:cstheme="majorHAnsi"/>
          <w:color w:val="auto"/>
          <w:lang w:val="es-PR"/>
        </w:rPr>
        <w:t xml:space="preserve"> </w:t>
      </w:r>
      <w:r w:rsidR="008E463C" w:rsidRPr="00BB36A5">
        <w:rPr>
          <w:rFonts w:asciiTheme="majorHAnsi" w:hAnsiTheme="majorHAnsi" w:cstheme="majorHAnsi"/>
          <w:color w:val="auto"/>
          <w:lang w:val="es-PR"/>
        </w:rPr>
        <w:t>p</w:t>
      </w:r>
      <w:r w:rsidR="00C800FA" w:rsidRPr="00BB36A5">
        <w:rPr>
          <w:rFonts w:asciiTheme="majorHAnsi" w:hAnsiTheme="majorHAnsi" w:cstheme="majorHAnsi"/>
          <w:color w:val="auto"/>
          <w:lang w:val="es-PR"/>
        </w:rPr>
        <w:t xml:space="preserve">rograma </w:t>
      </w:r>
      <w:proofErr w:type="spellStart"/>
      <w:r w:rsidR="00C800FA" w:rsidRPr="00BB36A5">
        <w:rPr>
          <w:rFonts w:asciiTheme="majorHAnsi" w:hAnsiTheme="majorHAnsi" w:cstheme="majorHAnsi"/>
          <w:i/>
          <w:iCs/>
          <w:color w:val="auto"/>
          <w:lang w:val="es-PR"/>
        </w:rPr>
        <w:t>Restart</w:t>
      </w:r>
      <w:proofErr w:type="spellEnd"/>
      <w:r w:rsidRPr="00BB36A5">
        <w:rPr>
          <w:rFonts w:asciiTheme="majorHAnsi" w:hAnsiTheme="majorHAnsi" w:cstheme="majorHAnsi"/>
          <w:i/>
          <w:iCs/>
          <w:color w:val="auto"/>
          <w:lang w:val="es-PR"/>
        </w:rPr>
        <w:t xml:space="preserve"> </w:t>
      </w:r>
      <w:r w:rsidRPr="00BB36A5">
        <w:rPr>
          <w:rFonts w:asciiTheme="majorHAnsi" w:hAnsiTheme="majorHAnsi" w:cstheme="majorHAnsi"/>
          <w:color w:val="auto"/>
          <w:lang w:val="es-PR"/>
        </w:rPr>
        <w:t xml:space="preserve">debe asegurarse de que todo </w:t>
      </w:r>
      <w:r w:rsidR="00C800FA" w:rsidRPr="00BB36A5">
        <w:rPr>
          <w:rFonts w:asciiTheme="majorHAnsi" w:hAnsiTheme="majorHAnsi" w:cstheme="majorHAnsi"/>
          <w:color w:val="auto"/>
          <w:lang w:val="es-PR"/>
        </w:rPr>
        <w:t>su personal</w:t>
      </w:r>
      <w:r w:rsidRPr="00BB36A5">
        <w:rPr>
          <w:rFonts w:asciiTheme="majorHAnsi" w:hAnsiTheme="majorHAnsi" w:cstheme="majorHAnsi"/>
          <w:color w:val="auto"/>
          <w:lang w:val="es-PR"/>
        </w:rPr>
        <w:t xml:space="preserve"> comprende l</w:t>
      </w:r>
      <w:r w:rsidR="00C800FA" w:rsidRPr="00BB36A5">
        <w:rPr>
          <w:rFonts w:asciiTheme="majorHAnsi" w:hAnsiTheme="majorHAnsi" w:cstheme="majorHAnsi"/>
          <w:color w:val="auto"/>
          <w:lang w:val="es-PR"/>
        </w:rPr>
        <w:t>as metas</w:t>
      </w:r>
      <w:r w:rsidRPr="00BB36A5">
        <w:rPr>
          <w:rFonts w:asciiTheme="majorHAnsi" w:hAnsiTheme="majorHAnsi" w:cstheme="majorHAnsi"/>
          <w:color w:val="auto"/>
          <w:lang w:val="es-PR"/>
        </w:rPr>
        <w:t>, los objetivos y cómo cada parte de</w:t>
      </w:r>
      <w:r w:rsidR="00C800FA" w:rsidRPr="00BB36A5">
        <w:rPr>
          <w:rFonts w:asciiTheme="majorHAnsi" w:hAnsiTheme="majorHAnsi" w:cstheme="majorHAnsi"/>
          <w:color w:val="auto"/>
          <w:lang w:val="es-PR"/>
        </w:rPr>
        <w:t>l</w:t>
      </w:r>
      <w:r w:rsidRPr="00BB36A5">
        <w:rPr>
          <w:rFonts w:asciiTheme="majorHAnsi" w:hAnsiTheme="majorHAnsi" w:cstheme="majorHAnsi"/>
          <w:color w:val="auto"/>
          <w:lang w:val="es-PR"/>
        </w:rPr>
        <w:t xml:space="preserve"> </w:t>
      </w:r>
      <w:r w:rsidR="00C800FA" w:rsidRPr="00BB36A5">
        <w:rPr>
          <w:rFonts w:asciiTheme="majorHAnsi" w:hAnsiTheme="majorHAnsi" w:cstheme="majorHAnsi"/>
          <w:color w:val="auto"/>
          <w:lang w:val="es-PR"/>
        </w:rPr>
        <w:t>Programa</w:t>
      </w:r>
      <w:r w:rsidRPr="00BB36A5">
        <w:rPr>
          <w:rFonts w:asciiTheme="majorHAnsi" w:hAnsiTheme="majorHAnsi" w:cstheme="majorHAnsi"/>
          <w:color w:val="auto"/>
          <w:lang w:val="es-PR"/>
        </w:rPr>
        <w:t xml:space="preserve"> está conectada a las otras partes. Además, todo el personal debe tener acceso a </w:t>
      </w:r>
      <w:r w:rsidR="00C800FA" w:rsidRPr="00BB36A5">
        <w:rPr>
          <w:rFonts w:asciiTheme="majorHAnsi" w:hAnsiTheme="majorHAnsi" w:cstheme="majorHAnsi"/>
          <w:color w:val="auto"/>
          <w:lang w:val="es-PR"/>
        </w:rPr>
        <w:t xml:space="preserve">las </w:t>
      </w:r>
      <w:r w:rsidRPr="00BB36A5">
        <w:rPr>
          <w:rFonts w:asciiTheme="majorHAnsi" w:hAnsiTheme="majorHAnsi" w:cstheme="majorHAnsi"/>
          <w:color w:val="auto"/>
          <w:lang w:val="es-PR"/>
        </w:rPr>
        <w:t>descripciones detalladas del trabajo, de modo que sean conscientes del papel</w:t>
      </w:r>
      <w:r w:rsidR="00C800FA" w:rsidRPr="00BB36A5">
        <w:rPr>
          <w:rFonts w:asciiTheme="majorHAnsi" w:hAnsiTheme="majorHAnsi" w:cstheme="majorHAnsi"/>
          <w:color w:val="auto"/>
          <w:lang w:val="es-PR"/>
        </w:rPr>
        <w:t xml:space="preserve"> o rol</w:t>
      </w:r>
      <w:r w:rsidRPr="00BB36A5">
        <w:rPr>
          <w:rFonts w:asciiTheme="majorHAnsi" w:hAnsiTheme="majorHAnsi" w:cstheme="majorHAnsi"/>
          <w:color w:val="auto"/>
          <w:lang w:val="es-PR"/>
        </w:rPr>
        <w:t xml:space="preserve"> que desempeñan </w:t>
      </w:r>
      <w:r w:rsidR="00C800FA" w:rsidRPr="00BB36A5">
        <w:rPr>
          <w:rFonts w:asciiTheme="majorHAnsi" w:hAnsiTheme="majorHAnsi" w:cstheme="majorHAnsi"/>
          <w:color w:val="auto"/>
          <w:lang w:val="es-PR"/>
        </w:rPr>
        <w:t>dentro del Programa</w:t>
      </w:r>
      <w:r w:rsidRPr="00BB36A5">
        <w:rPr>
          <w:rFonts w:asciiTheme="majorHAnsi" w:hAnsiTheme="majorHAnsi" w:cstheme="majorHAnsi"/>
          <w:color w:val="auto"/>
          <w:lang w:val="es-PR"/>
        </w:rPr>
        <w:t xml:space="preserve"> y puedan comunicar </w:t>
      </w:r>
      <w:r w:rsidR="00C800FA" w:rsidRPr="00BB36A5">
        <w:rPr>
          <w:rFonts w:asciiTheme="majorHAnsi" w:hAnsiTheme="majorHAnsi" w:cstheme="majorHAnsi"/>
          <w:color w:val="auto"/>
          <w:lang w:val="es-PR"/>
        </w:rPr>
        <w:t>acertadamente</w:t>
      </w:r>
      <w:r w:rsidRPr="00BB36A5">
        <w:rPr>
          <w:rFonts w:asciiTheme="majorHAnsi" w:hAnsiTheme="majorHAnsi" w:cstheme="majorHAnsi"/>
          <w:color w:val="auto"/>
          <w:lang w:val="es-PR"/>
        </w:rPr>
        <w:t xml:space="preserve"> sus funciones de trabajo a los auditores y monitores.  </w:t>
      </w:r>
    </w:p>
    <w:p w14:paraId="049B9A7A" w14:textId="6BDF06E6" w:rsidR="002A558A" w:rsidRPr="00BB36A5" w:rsidRDefault="00342E9E" w:rsidP="002A558A">
      <w:pPr>
        <w:shd w:val="clear" w:color="auto" w:fill="FFFFFF"/>
        <w:spacing w:after="9"/>
        <w:jc w:val="both"/>
        <w:textAlignment w:val="baseline"/>
        <w:rPr>
          <w:rFonts w:asciiTheme="majorHAnsi" w:eastAsia="Times New Roman" w:hAnsiTheme="majorHAnsi" w:cstheme="majorHAnsi"/>
          <w:lang w:val="es-PR" w:eastAsia="es-PR"/>
        </w:rPr>
      </w:pPr>
      <w:r w:rsidRPr="00BB36A5">
        <w:rPr>
          <w:rFonts w:asciiTheme="majorHAnsi" w:eastAsia="Times New Roman" w:hAnsiTheme="majorHAnsi" w:cstheme="majorHAnsi"/>
          <w:lang w:val="es-PR" w:eastAsia="es-PR"/>
        </w:rPr>
        <w:t xml:space="preserve">                  </w:t>
      </w:r>
    </w:p>
    <w:p w14:paraId="174E84C3" w14:textId="0D232C2C" w:rsidR="009239F6" w:rsidRPr="00BB36A5" w:rsidRDefault="00A31471" w:rsidP="00342E9E">
      <w:pPr>
        <w:pStyle w:val="Heading3"/>
        <w:rPr>
          <w:rFonts w:cstheme="majorHAnsi"/>
          <w:color w:val="FF0000"/>
          <w:lang w:val="es-PR"/>
        </w:rPr>
      </w:pPr>
      <w:r w:rsidRPr="00BB36A5">
        <w:rPr>
          <w:rFonts w:eastAsiaTheme="minorEastAsia" w:cstheme="majorHAnsi"/>
          <w:color w:val="auto"/>
          <w:lang w:val="es-PR"/>
        </w:rPr>
        <w:t xml:space="preserve">Funciones y responsabilidades del personal del </w:t>
      </w:r>
      <w:r w:rsidR="00311BBB" w:rsidRPr="00BB36A5">
        <w:rPr>
          <w:rFonts w:eastAsiaTheme="minorEastAsia" w:cstheme="majorHAnsi"/>
          <w:color w:val="auto"/>
          <w:lang w:val="es-PR"/>
        </w:rPr>
        <w:t>p</w:t>
      </w:r>
      <w:r w:rsidRPr="00BB36A5">
        <w:rPr>
          <w:rFonts w:eastAsiaTheme="minorEastAsia" w:cstheme="majorHAnsi"/>
          <w:color w:val="auto"/>
          <w:lang w:val="es-PR"/>
        </w:rPr>
        <w:t xml:space="preserve">rograma </w:t>
      </w:r>
      <w:proofErr w:type="spellStart"/>
      <w:r w:rsidRPr="00BB36A5">
        <w:rPr>
          <w:rFonts w:eastAsiaTheme="minorEastAsia" w:cstheme="majorHAnsi"/>
          <w:i/>
          <w:iCs/>
          <w:color w:val="auto"/>
          <w:lang w:val="es-PR"/>
        </w:rPr>
        <w:t>Restart</w:t>
      </w:r>
      <w:proofErr w:type="spellEnd"/>
      <w:r w:rsidRPr="00BB36A5">
        <w:rPr>
          <w:rFonts w:eastAsiaTheme="minorEastAsia" w:cstheme="majorHAnsi"/>
          <w:color w:val="auto"/>
          <w:lang w:val="es-PR"/>
        </w:rPr>
        <w:t>:</w:t>
      </w:r>
      <w:r w:rsidR="009E6983" w:rsidRPr="00BB36A5">
        <w:rPr>
          <w:rFonts w:eastAsiaTheme="minorEastAsia" w:cstheme="majorHAnsi"/>
          <w:color w:val="auto"/>
          <w:lang w:val="es-PR"/>
        </w:rPr>
        <w:t xml:space="preserve"> </w:t>
      </w:r>
      <w:r w:rsidR="00581782" w:rsidRPr="00BB36A5">
        <w:rPr>
          <w:rFonts w:eastAsiaTheme="minorEastAsia" w:cstheme="majorHAnsi"/>
          <w:color w:val="auto"/>
          <w:lang w:val="es-PR"/>
        </w:rPr>
        <w:t>Las funciones y responsabilidades del personal de la subvención se describen en la siguiente tabla</w:t>
      </w:r>
      <w:r w:rsidR="00342E9E" w:rsidRPr="00BB36A5">
        <w:rPr>
          <w:rFonts w:eastAsia="Times New Roman" w:cstheme="majorHAnsi"/>
          <w:color w:val="auto"/>
          <w:lang w:val="es-PR" w:eastAsia="es-PR"/>
        </w:rPr>
        <w:t>:</w:t>
      </w:r>
      <w:r w:rsidR="00626C1E" w:rsidRPr="00BB36A5">
        <w:rPr>
          <w:rStyle w:val="FootnoteReference"/>
          <w:rFonts w:cstheme="majorHAnsi"/>
          <w:color w:val="auto"/>
        </w:rPr>
        <w:footnoteReference w:id="7"/>
      </w:r>
    </w:p>
    <w:tbl>
      <w:tblPr>
        <w:tblStyle w:val="TableGrid"/>
        <w:tblW w:w="10795" w:type="dxa"/>
        <w:tblInd w:w="-5" w:type="dxa"/>
        <w:tblLook w:val="04A0" w:firstRow="1" w:lastRow="0" w:firstColumn="1" w:lastColumn="0" w:noHBand="0" w:noVBand="1"/>
      </w:tblPr>
      <w:tblGrid>
        <w:gridCol w:w="1560"/>
        <w:gridCol w:w="1842"/>
        <w:gridCol w:w="1276"/>
        <w:gridCol w:w="6117"/>
      </w:tblGrid>
      <w:tr w:rsidR="000C6A0D" w:rsidRPr="00BB36A5" w14:paraId="1CB8547A" w14:textId="77777777" w:rsidTr="00652B0A">
        <w:trPr>
          <w:tblHeader/>
        </w:trPr>
        <w:tc>
          <w:tcPr>
            <w:tcW w:w="1560" w:type="dxa"/>
            <w:shd w:val="clear" w:color="auto" w:fill="B4C6E7" w:themeFill="accent1" w:themeFillTint="66"/>
            <w:vAlign w:val="center"/>
          </w:tcPr>
          <w:p w14:paraId="36112771" w14:textId="653FA213" w:rsidR="000C6A0D" w:rsidRPr="00BB36A5" w:rsidRDefault="000C6A0D" w:rsidP="00652B0A">
            <w:pPr>
              <w:pStyle w:val="ListParagraph"/>
              <w:ind w:left="0"/>
              <w:jc w:val="center"/>
              <w:rPr>
                <w:rFonts w:asciiTheme="majorHAnsi" w:eastAsiaTheme="minorEastAsia" w:hAnsiTheme="majorHAnsi" w:cstheme="majorHAnsi"/>
                <w:b/>
                <w:bCs/>
                <w:lang w:val="es-PR"/>
              </w:rPr>
            </w:pPr>
            <w:r w:rsidRPr="00BB36A5">
              <w:rPr>
                <w:rFonts w:asciiTheme="majorHAnsi" w:eastAsiaTheme="minorEastAsia" w:hAnsiTheme="majorHAnsi" w:cstheme="majorHAnsi"/>
                <w:b/>
                <w:bCs/>
              </w:rPr>
              <w:t>N</w:t>
            </w:r>
            <w:r w:rsidR="009A4A2B" w:rsidRPr="00BB36A5">
              <w:rPr>
                <w:rFonts w:asciiTheme="majorHAnsi" w:eastAsiaTheme="minorEastAsia" w:hAnsiTheme="majorHAnsi" w:cstheme="majorHAnsi"/>
                <w:b/>
                <w:bCs/>
              </w:rPr>
              <w:t>ombre</w:t>
            </w:r>
          </w:p>
        </w:tc>
        <w:tc>
          <w:tcPr>
            <w:tcW w:w="1842" w:type="dxa"/>
            <w:shd w:val="clear" w:color="auto" w:fill="B4C6E7" w:themeFill="accent1" w:themeFillTint="66"/>
            <w:vAlign w:val="center"/>
          </w:tcPr>
          <w:p w14:paraId="4B22E428" w14:textId="54F5E97A" w:rsidR="000C6A0D" w:rsidRPr="00BB36A5" w:rsidRDefault="009A4A2B" w:rsidP="00652B0A">
            <w:pPr>
              <w:pStyle w:val="ListParagraph"/>
              <w:ind w:left="0"/>
              <w:jc w:val="center"/>
              <w:rPr>
                <w:rFonts w:asciiTheme="majorHAnsi" w:eastAsiaTheme="minorEastAsia" w:hAnsiTheme="majorHAnsi" w:cstheme="majorHAnsi"/>
                <w:b/>
                <w:bCs/>
              </w:rPr>
            </w:pPr>
            <w:r w:rsidRPr="00BB36A5">
              <w:rPr>
                <w:rFonts w:asciiTheme="majorHAnsi" w:eastAsiaTheme="minorEastAsia" w:hAnsiTheme="majorHAnsi" w:cstheme="majorHAnsi"/>
                <w:b/>
                <w:bCs/>
                <w:lang w:val="es-PR"/>
              </w:rPr>
              <w:t>Posición</w:t>
            </w:r>
          </w:p>
        </w:tc>
        <w:tc>
          <w:tcPr>
            <w:tcW w:w="1276" w:type="dxa"/>
            <w:shd w:val="clear" w:color="auto" w:fill="B4C6E7" w:themeFill="accent1" w:themeFillTint="66"/>
            <w:vAlign w:val="center"/>
          </w:tcPr>
          <w:p w14:paraId="768038E3" w14:textId="77777777" w:rsidR="009A4A2B" w:rsidRPr="00BB36A5" w:rsidRDefault="000C6A0D" w:rsidP="00652B0A">
            <w:pPr>
              <w:pStyle w:val="ListParagraph"/>
              <w:ind w:left="0"/>
              <w:jc w:val="center"/>
              <w:rPr>
                <w:rFonts w:asciiTheme="majorHAnsi" w:eastAsiaTheme="minorEastAsia" w:hAnsiTheme="majorHAnsi" w:cstheme="majorHAnsi"/>
                <w:b/>
                <w:bCs/>
              </w:rPr>
            </w:pPr>
            <w:r w:rsidRPr="00BB36A5">
              <w:rPr>
                <w:rFonts w:asciiTheme="majorHAnsi" w:eastAsiaTheme="minorEastAsia" w:hAnsiTheme="majorHAnsi" w:cstheme="majorHAnsi"/>
                <w:b/>
                <w:bCs/>
              </w:rPr>
              <w:t xml:space="preserve">% </w:t>
            </w:r>
            <w:proofErr w:type="spellStart"/>
            <w:r w:rsidRPr="00BB36A5">
              <w:rPr>
                <w:rFonts w:asciiTheme="majorHAnsi" w:eastAsiaTheme="minorEastAsia" w:hAnsiTheme="majorHAnsi" w:cstheme="majorHAnsi"/>
                <w:b/>
                <w:bCs/>
              </w:rPr>
              <w:t>E</w:t>
            </w:r>
            <w:r w:rsidR="009A4A2B" w:rsidRPr="00BB36A5">
              <w:rPr>
                <w:rFonts w:asciiTheme="majorHAnsi" w:eastAsiaTheme="minorEastAsia" w:hAnsiTheme="majorHAnsi" w:cstheme="majorHAnsi"/>
                <w:b/>
                <w:bCs/>
              </w:rPr>
              <w:t>sfuerzo</w:t>
            </w:r>
            <w:proofErr w:type="spellEnd"/>
          </w:p>
          <w:p w14:paraId="14979EA9" w14:textId="031AFBF5" w:rsidR="000C6A0D" w:rsidRPr="00BB36A5" w:rsidRDefault="000C6A0D" w:rsidP="00652B0A">
            <w:pPr>
              <w:pStyle w:val="ListParagraph"/>
              <w:ind w:left="0"/>
              <w:jc w:val="center"/>
              <w:rPr>
                <w:rFonts w:asciiTheme="majorHAnsi" w:eastAsiaTheme="minorEastAsia" w:hAnsiTheme="majorHAnsi" w:cstheme="majorHAnsi"/>
                <w:b/>
                <w:bCs/>
              </w:rPr>
            </w:pPr>
            <w:r w:rsidRPr="00BB36A5">
              <w:rPr>
                <w:rFonts w:asciiTheme="majorHAnsi" w:eastAsiaTheme="minorEastAsia" w:hAnsiTheme="majorHAnsi" w:cstheme="majorHAnsi"/>
                <w:b/>
                <w:bCs/>
              </w:rPr>
              <w:t>(</w:t>
            </w:r>
            <w:proofErr w:type="spellStart"/>
            <w:r w:rsidRPr="00BB36A5">
              <w:rPr>
                <w:rFonts w:asciiTheme="majorHAnsi" w:eastAsiaTheme="minorEastAsia" w:hAnsiTheme="majorHAnsi" w:cstheme="majorHAnsi"/>
                <w:b/>
                <w:bCs/>
              </w:rPr>
              <w:t>estima</w:t>
            </w:r>
            <w:r w:rsidR="009A4A2B" w:rsidRPr="00BB36A5">
              <w:rPr>
                <w:rFonts w:asciiTheme="majorHAnsi" w:eastAsiaTheme="minorEastAsia" w:hAnsiTheme="majorHAnsi" w:cstheme="majorHAnsi"/>
                <w:b/>
                <w:bCs/>
              </w:rPr>
              <w:t>do</w:t>
            </w:r>
            <w:proofErr w:type="spellEnd"/>
            <w:r w:rsidRPr="00BB36A5">
              <w:rPr>
                <w:rFonts w:asciiTheme="majorHAnsi" w:eastAsiaTheme="minorEastAsia" w:hAnsiTheme="majorHAnsi" w:cstheme="majorHAnsi"/>
                <w:b/>
                <w:bCs/>
              </w:rPr>
              <w:t>)</w:t>
            </w:r>
          </w:p>
        </w:tc>
        <w:tc>
          <w:tcPr>
            <w:tcW w:w="6117" w:type="dxa"/>
            <w:shd w:val="clear" w:color="auto" w:fill="B4C6E7" w:themeFill="accent1" w:themeFillTint="66"/>
            <w:vAlign w:val="center"/>
          </w:tcPr>
          <w:p w14:paraId="17AE81DA" w14:textId="3A83D148" w:rsidR="000C6A0D" w:rsidRPr="00BB36A5" w:rsidRDefault="000C6A0D" w:rsidP="00652B0A">
            <w:pPr>
              <w:pStyle w:val="ListParagraph"/>
              <w:ind w:left="0"/>
              <w:jc w:val="center"/>
              <w:rPr>
                <w:rFonts w:asciiTheme="majorHAnsi" w:eastAsiaTheme="minorEastAsia" w:hAnsiTheme="majorHAnsi" w:cstheme="majorHAnsi"/>
                <w:b/>
                <w:bCs/>
              </w:rPr>
            </w:pPr>
            <w:proofErr w:type="spellStart"/>
            <w:r w:rsidRPr="00BB36A5">
              <w:rPr>
                <w:rFonts w:asciiTheme="majorHAnsi" w:eastAsiaTheme="minorEastAsia" w:hAnsiTheme="majorHAnsi" w:cstheme="majorHAnsi"/>
                <w:b/>
                <w:bCs/>
              </w:rPr>
              <w:t>Respon</w:t>
            </w:r>
            <w:r w:rsidR="009A4A2B" w:rsidRPr="00BB36A5">
              <w:rPr>
                <w:rFonts w:asciiTheme="majorHAnsi" w:eastAsiaTheme="minorEastAsia" w:hAnsiTheme="majorHAnsi" w:cstheme="majorHAnsi"/>
                <w:b/>
                <w:bCs/>
              </w:rPr>
              <w:t>sabilidades</w:t>
            </w:r>
            <w:proofErr w:type="spellEnd"/>
          </w:p>
        </w:tc>
      </w:tr>
      <w:tr w:rsidR="000C6A0D" w:rsidRPr="00BB36A5" w14:paraId="16DE0546" w14:textId="77777777" w:rsidTr="00652B0A">
        <w:tc>
          <w:tcPr>
            <w:tcW w:w="1560" w:type="dxa"/>
            <w:vAlign w:val="center"/>
          </w:tcPr>
          <w:p w14:paraId="668D7C59" w14:textId="7C3A7F2A" w:rsidR="000C6A0D" w:rsidRPr="00BB36A5" w:rsidRDefault="003C18F1" w:rsidP="00652B0A">
            <w:pPr>
              <w:pStyle w:val="ListParagraph"/>
              <w:ind w:left="0"/>
              <w:jc w:val="center"/>
              <w:rPr>
                <w:rFonts w:asciiTheme="majorHAnsi" w:eastAsiaTheme="minorEastAsia" w:hAnsiTheme="majorHAnsi" w:cstheme="majorHAnsi"/>
                <w:lang w:val="es-PR"/>
              </w:rPr>
            </w:pPr>
            <w:r w:rsidRPr="00BB36A5">
              <w:rPr>
                <w:rFonts w:asciiTheme="majorHAnsi" w:eastAsiaTheme="minorEastAsia" w:hAnsiTheme="majorHAnsi" w:cstheme="majorHAnsi"/>
                <w:lang w:val="es-PR"/>
              </w:rPr>
              <w:t>M</w:t>
            </w:r>
            <w:r w:rsidR="00AF0C73" w:rsidRPr="00BB36A5">
              <w:rPr>
                <w:rFonts w:asciiTheme="majorHAnsi" w:eastAsiaTheme="minorEastAsia" w:hAnsiTheme="majorHAnsi" w:cstheme="majorHAnsi"/>
                <w:lang w:val="es-PR"/>
              </w:rPr>
              <w:t>iguel A. Negrón</w:t>
            </w:r>
          </w:p>
        </w:tc>
        <w:tc>
          <w:tcPr>
            <w:tcW w:w="1842" w:type="dxa"/>
            <w:vAlign w:val="center"/>
          </w:tcPr>
          <w:p w14:paraId="5CE84CBB" w14:textId="3D976A66" w:rsidR="000C6A0D" w:rsidRPr="00BB36A5" w:rsidRDefault="009A4A2B"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Secretari</w:t>
            </w:r>
            <w:r w:rsidR="00AF0C73" w:rsidRPr="00BB36A5">
              <w:rPr>
                <w:rFonts w:asciiTheme="majorHAnsi" w:eastAsiaTheme="minorEastAsia" w:hAnsiTheme="majorHAnsi" w:cstheme="majorHAnsi"/>
              </w:rPr>
              <w:t>o</w:t>
            </w:r>
            <w:proofErr w:type="spellEnd"/>
            <w:r w:rsidR="000C6A0D" w:rsidRPr="00BB36A5">
              <w:rPr>
                <w:rFonts w:asciiTheme="majorHAnsi" w:eastAsiaTheme="minorEastAsia" w:hAnsiTheme="majorHAnsi" w:cstheme="majorHAnsi"/>
              </w:rPr>
              <w:t xml:space="preserve"> </w:t>
            </w:r>
            <w:r w:rsidRPr="00BB36A5">
              <w:rPr>
                <w:rFonts w:asciiTheme="majorHAnsi" w:eastAsiaTheme="minorEastAsia" w:hAnsiTheme="majorHAnsi" w:cstheme="majorHAnsi"/>
              </w:rPr>
              <w:t>Auxiliar</w:t>
            </w:r>
          </w:p>
        </w:tc>
        <w:tc>
          <w:tcPr>
            <w:tcW w:w="1276" w:type="dxa"/>
            <w:vAlign w:val="center"/>
          </w:tcPr>
          <w:p w14:paraId="56D47913"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16%</w:t>
            </w:r>
          </w:p>
        </w:tc>
        <w:tc>
          <w:tcPr>
            <w:tcW w:w="6117" w:type="dxa"/>
            <w:vAlign w:val="center"/>
          </w:tcPr>
          <w:p w14:paraId="3035B142" w14:textId="1CC9A1F6" w:rsidR="000C6A0D" w:rsidRPr="00BB36A5" w:rsidRDefault="00FF2E1E"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 xml:space="preserve">Director de la Secretaría Auxiliar para Asuntos Federales. Está a cargo de supervisar a todo el personal que está trabajando con los Fondos del Programa </w:t>
            </w:r>
            <w:proofErr w:type="spellStart"/>
            <w:r w:rsidRPr="00BB36A5">
              <w:rPr>
                <w:rFonts w:asciiTheme="majorHAnsi" w:eastAsiaTheme="minorEastAsia" w:hAnsiTheme="majorHAnsi" w:cstheme="majorHAnsi"/>
                <w:i/>
                <w:iCs/>
                <w:lang w:val="es-PR"/>
              </w:rPr>
              <w:t>Restart</w:t>
            </w:r>
            <w:proofErr w:type="spellEnd"/>
            <w:r w:rsidRPr="00BB36A5">
              <w:rPr>
                <w:rFonts w:asciiTheme="majorHAnsi" w:eastAsiaTheme="minorEastAsia" w:hAnsiTheme="majorHAnsi" w:cstheme="majorHAnsi"/>
                <w:lang w:val="es-PR"/>
              </w:rPr>
              <w:t xml:space="preserve">, todos los demás programas federales bajo </w:t>
            </w:r>
            <w:proofErr w:type="spellStart"/>
            <w:r w:rsidRPr="00BB36A5">
              <w:rPr>
                <w:rFonts w:asciiTheme="majorHAnsi" w:eastAsiaTheme="minorEastAsia" w:hAnsiTheme="majorHAnsi" w:cstheme="majorHAnsi"/>
                <w:i/>
                <w:iCs/>
                <w:lang w:val="es-PR"/>
              </w:rPr>
              <w:t>Restart</w:t>
            </w:r>
            <w:proofErr w:type="spellEnd"/>
            <w:r w:rsidRPr="00BB36A5">
              <w:rPr>
                <w:rFonts w:asciiTheme="majorHAnsi" w:eastAsiaTheme="minorEastAsia" w:hAnsiTheme="majorHAnsi" w:cstheme="majorHAnsi"/>
                <w:lang w:val="es-PR"/>
              </w:rPr>
              <w:t xml:space="preserve"> y otros programas bajo </w:t>
            </w:r>
            <w:r w:rsidRPr="00BB36A5">
              <w:rPr>
                <w:rFonts w:asciiTheme="majorHAnsi" w:eastAsiaTheme="minorEastAsia" w:hAnsiTheme="majorHAnsi" w:cstheme="majorHAnsi"/>
                <w:lang w:val="es-PR"/>
              </w:rPr>
              <w:lastRenderedPageBreak/>
              <w:t>otras regulaciones, a través de los cuales los fondos están autorizados para el DEPR.</w:t>
            </w:r>
            <w:r w:rsidR="000C6A0D" w:rsidRPr="00BB36A5">
              <w:rPr>
                <w:rFonts w:asciiTheme="majorHAnsi" w:eastAsiaTheme="minorEastAsia" w:hAnsiTheme="majorHAnsi" w:cstheme="majorHAnsi"/>
                <w:lang w:val="es-PR"/>
              </w:rPr>
              <w:t xml:space="preserve"> </w:t>
            </w:r>
          </w:p>
        </w:tc>
      </w:tr>
      <w:tr w:rsidR="000C6A0D" w:rsidRPr="00BB36A5" w14:paraId="1661DD2A" w14:textId="77777777" w:rsidTr="00652B0A">
        <w:tc>
          <w:tcPr>
            <w:tcW w:w="1560" w:type="dxa"/>
            <w:vAlign w:val="center"/>
          </w:tcPr>
          <w:p w14:paraId="5E7D0F2B" w14:textId="70861C72" w:rsidR="000C6A0D" w:rsidRPr="00BB36A5" w:rsidRDefault="003C18F1"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lastRenderedPageBreak/>
              <w:t>Edgar Delgado</w:t>
            </w:r>
          </w:p>
        </w:tc>
        <w:tc>
          <w:tcPr>
            <w:tcW w:w="1842" w:type="dxa"/>
            <w:vAlign w:val="center"/>
          </w:tcPr>
          <w:p w14:paraId="7EBBBC0F" w14:textId="35F77CEF" w:rsidR="000C6A0D" w:rsidRPr="00BB36A5" w:rsidRDefault="000C6A0D"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Coordina</w:t>
            </w:r>
            <w:r w:rsidR="009A4A2B" w:rsidRPr="00BB36A5">
              <w:rPr>
                <w:rFonts w:asciiTheme="majorHAnsi" w:eastAsiaTheme="minorEastAsia" w:hAnsiTheme="majorHAnsi" w:cstheme="majorHAnsi"/>
              </w:rPr>
              <w:t>d</w:t>
            </w:r>
            <w:r w:rsidRPr="00BB36A5">
              <w:rPr>
                <w:rFonts w:asciiTheme="majorHAnsi" w:eastAsiaTheme="minorEastAsia" w:hAnsiTheme="majorHAnsi" w:cstheme="majorHAnsi"/>
              </w:rPr>
              <w:t>or</w:t>
            </w:r>
            <w:proofErr w:type="spellEnd"/>
          </w:p>
        </w:tc>
        <w:tc>
          <w:tcPr>
            <w:tcW w:w="1276" w:type="dxa"/>
            <w:vAlign w:val="center"/>
          </w:tcPr>
          <w:p w14:paraId="032A8AAE"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60%</w:t>
            </w:r>
          </w:p>
        </w:tc>
        <w:tc>
          <w:tcPr>
            <w:tcW w:w="6117" w:type="dxa"/>
            <w:vAlign w:val="center"/>
          </w:tcPr>
          <w:p w14:paraId="1216F92D" w14:textId="02FEBF44" w:rsidR="000C6A0D" w:rsidRPr="00BB36A5" w:rsidRDefault="00FF2E1E"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Coordinador de la Oficina de Recuperación de Desastres y Programas Especiales adscrito a la Secretaria Auxiliar para Asuntos Federales. Es responsable de todas las tareas administrativas, de la revisión de las solicitudes,</w:t>
            </w:r>
            <w:r w:rsidRPr="00BB36A5">
              <w:rPr>
                <w:rFonts w:asciiTheme="majorHAnsi" w:hAnsiTheme="majorHAnsi" w:cstheme="majorHAnsi"/>
                <w:lang w:val="es-PR"/>
              </w:rPr>
              <w:t xml:space="preserve"> </w:t>
            </w:r>
            <w:r w:rsidRPr="00BB36A5">
              <w:rPr>
                <w:rFonts w:asciiTheme="majorHAnsi" w:eastAsiaTheme="minorEastAsia" w:hAnsiTheme="majorHAnsi" w:cstheme="majorHAnsi"/>
                <w:lang w:val="es-PR"/>
              </w:rPr>
              <w:t>aprobaciones, certificando la disponibilidad de fondos, asegurándose de que se están procesando las solicitudes y requisiciones y de la distribución de tareas entre el personal del programa.</w:t>
            </w:r>
          </w:p>
        </w:tc>
      </w:tr>
      <w:tr w:rsidR="000C6A0D" w:rsidRPr="00BB36A5" w14:paraId="694BE982" w14:textId="77777777" w:rsidTr="00652B0A">
        <w:tc>
          <w:tcPr>
            <w:tcW w:w="1560" w:type="dxa"/>
            <w:vAlign w:val="center"/>
          </w:tcPr>
          <w:p w14:paraId="436E4603" w14:textId="442578B6" w:rsidR="000C6A0D" w:rsidRPr="00BB36A5" w:rsidRDefault="003C18F1"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Vacante</w:t>
            </w:r>
          </w:p>
        </w:tc>
        <w:tc>
          <w:tcPr>
            <w:tcW w:w="1842" w:type="dxa"/>
            <w:vAlign w:val="center"/>
          </w:tcPr>
          <w:p w14:paraId="7880ABF1" w14:textId="37C7CC63" w:rsidR="000C6A0D" w:rsidRPr="00BB36A5" w:rsidRDefault="002F4AE3"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Oficial</w:t>
            </w:r>
            <w:proofErr w:type="spellEnd"/>
            <w:r w:rsidRPr="00BB36A5">
              <w:rPr>
                <w:rFonts w:asciiTheme="majorHAnsi" w:eastAsiaTheme="minorEastAsia" w:hAnsiTheme="majorHAnsi" w:cstheme="majorHAnsi"/>
              </w:rPr>
              <w:t xml:space="preserve"> del </w:t>
            </w:r>
            <w:proofErr w:type="spellStart"/>
            <w:r w:rsidRPr="00BB36A5">
              <w:rPr>
                <w:rFonts w:asciiTheme="majorHAnsi" w:eastAsiaTheme="minorEastAsia" w:hAnsiTheme="majorHAnsi" w:cstheme="majorHAnsi"/>
              </w:rPr>
              <w:t>Programa</w:t>
            </w:r>
            <w:proofErr w:type="spellEnd"/>
          </w:p>
        </w:tc>
        <w:tc>
          <w:tcPr>
            <w:tcW w:w="1276" w:type="dxa"/>
            <w:vAlign w:val="center"/>
          </w:tcPr>
          <w:p w14:paraId="7B5127FF" w14:textId="1B055643" w:rsidR="000C6A0D" w:rsidRPr="00BB36A5" w:rsidRDefault="003C18F1"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100</w:t>
            </w:r>
            <w:r w:rsidR="000C6A0D" w:rsidRPr="00BB36A5">
              <w:rPr>
                <w:rFonts w:asciiTheme="majorHAnsi" w:eastAsiaTheme="minorEastAsia" w:hAnsiTheme="majorHAnsi" w:cstheme="majorHAnsi"/>
              </w:rPr>
              <w:t>%</w:t>
            </w:r>
          </w:p>
        </w:tc>
        <w:tc>
          <w:tcPr>
            <w:tcW w:w="6117" w:type="dxa"/>
            <w:vAlign w:val="center"/>
          </w:tcPr>
          <w:p w14:paraId="73784DC1" w14:textId="1A905FF8" w:rsidR="000C6A0D" w:rsidRPr="00BB36A5" w:rsidRDefault="003C18F1" w:rsidP="003C18F1">
            <w:pPr>
              <w:spacing w:after="160" w:line="259" w:lineRule="auto"/>
              <w:jc w:val="both"/>
              <w:rPr>
                <w:rFonts w:asciiTheme="majorHAnsi" w:hAnsiTheme="majorHAnsi" w:cstheme="majorHAnsi"/>
                <w:lang w:val="es-PR"/>
              </w:rPr>
            </w:pPr>
            <w:r w:rsidRPr="00BB36A5">
              <w:rPr>
                <w:rFonts w:asciiTheme="majorHAnsi" w:hAnsiTheme="majorHAnsi" w:cstheme="majorHAnsi"/>
                <w:lang w:val="es-PR"/>
              </w:rPr>
              <w:t xml:space="preserve">El oficial del programa brindará asistencia al coordinador con sus responsabilidades, dará seguimiento de las iniciativas, supervisará los procesos de compras de bienes y servicios, ayudará con los adiestramientos y orientaciones; y proveerá asistencia técnica a los diferentes líderes de las iniciativas, entre otras tareas administrativas relacionadas con el programa </w:t>
            </w:r>
            <w:proofErr w:type="spellStart"/>
            <w:r w:rsidRPr="00BB36A5">
              <w:rPr>
                <w:rFonts w:asciiTheme="majorHAnsi" w:hAnsiTheme="majorHAnsi" w:cstheme="majorHAnsi"/>
                <w:i/>
                <w:iCs/>
                <w:lang w:val="es-PR"/>
              </w:rPr>
              <w:t>Restart</w:t>
            </w:r>
            <w:proofErr w:type="spellEnd"/>
            <w:r w:rsidRPr="00BB36A5">
              <w:rPr>
                <w:rFonts w:asciiTheme="majorHAnsi" w:hAnsiTheme="majorHAnsi" w:cstheme="majorHAnsi"/>
                <w:lang w:val="es-PR"/>
              </w:rPr>
              <w:t>.</w:t>
            </w:r>
          </w:p>
        </w:tc>
      </w:tr>
      <w:tr w:rsidR="000C6A0D" w:rsidRPr="00BB36A5" w14:paraId="6014371F" w14:textId="77777777" w:rsidTr="00652B0A">
        <w:tc>
          <w:tcPr>
            <w:tcW w:w="1560" w:type="dxa"/>
            <w:vAlign w:val="center"/>
          </w:tcPr>
          <w:p w14:paraId="204A1EEF" w14:textId="565ACA90"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w:t>
            </w:r>
            <w:r w:rsidR="006841C1" w:rsidRPr="00BB36A5">
              <w:rPr>
                <w:rFonts w:asciiTheme="majorHAnsi" w:eastAsiaTheme="minorEastAsia" w:hAnsiTheme="majorHAnsi" w:cstheme="majorHAnsi"/>
              </w:rPr>
              <w:t>e</w:t>
            </w:r>
          </w:p>
        </w:tc>
        <w:tc>
          <w:tcPr>
            <w:tcW w:w="1842" w:type="dxa"/>
            <w:vAlign w:val="center"/>
          </w:tcPr>
          <w:p w14:paraId="56917038" w14:textId="05336535" w:rsidR="000C6A0D" w:rsidRPr="00BB36A5" w:rsidRDefault="002F4AE3" w:rsidP="00652B0A">
            <w:pPr>
              <w:pStyle w:val="ListParagraph"/>
              <w:ind w:left="0"/>
              <w:jc w:val="center"/>
              <w:rPr>
                <w:rFonts w:asciiTheme="majorHAnsi" w:eastAsiaTheme="minorEastAsia" w:hAnsiTheme="majorHAnsi" w:cstheme="majorHAnsi"/>
                <w:lang w:val="es-PR"/>
              </w:rPr>
            </w:pPr>
            <w:r w:rsidRPr="00BB36A5">
              <w:rPr>
                <w:rFonts w:asciiTheme="majorHAnsi" w:eastAsiaTheme="minorEastAsia" w:hAnsiTheme="majorHAnsi" w:cstheme="majorHAnsi"/>
                <w:lang w:val="es-PR"/>
              </w:rPr>
              <w:t xml:space="preserve">Líder </w:t>
            </w:r>
            <w:r w:rsidR="00532D1C" w:rsidRPr="00BB36A5">
              <w:rPr>
                <w:rFonts w:asciiTheme="majorHAnsi" w:eastAsiaTheme="minorEastAsia" w:hAnsiTheme="majorHAnsi" w:cstheme="majorHAnsi"/>
                <w:lang w:val="es-PR"/>
              </w:rPr>
              <w:t>o</w:t>
            </w:r>
            <w:r w:rsidRPr="00BB36A5">
              <w:rPr>
                <w:rFonts w:asciiTheme="majorHAnsi" w:eastAsiaTheme="minorEastAsia" w:hAnsiTheme="majorHAnsi" w:cstheme="majorHAnsi"/>
                <w:lang w:val="es-PR"/>
              </w:rPr>
              <w:t xml:space="preserve"> Principal de Cumplimiento</w:t>
            </w:r>
          </w:p>
        </w:tc>
        <w:tc>
          <w:tcPr>
            <w:tcW w:w="1276" w:type="dxa"/>
            <w:vAlign w:val="center"/>
          </w:tcPr>
          <w:p w14:paraId="248AF36E"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60%</w:t>
            </w:r>
          </w:p>
        </w:tc>
        <w:tc>
          <w:tcPr>
            <w:tcW w:w="6117" w:type="dxa"/>
            <w:vAlign w:val="center"/>
          </w:tcPr>
          <w:p w14:paraId="01A989B3" w14:textId="0AFA20E7" w:rsidR="000C6A0D" w:rsidRPr="00BB36A5" w:rsidRDefault="00532D1C"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L</w:t>
            </w:r>
            <w:r w:rsidR="008A0054" w:rsidRPr="00BB36A5">
              <w:rPr>
                <w:rFonts w:asciiTheme="majorHAnsi" w:eastAsiaTheme="minorEastAsia" w:hAnsiTheme="majorHAnsi" w:cstheme="majorHAnsi"/>
                <w:lang w:val="es-PR"/>
              </w:rPr>
              <w:t>íder de los esfuerzos de monitor</w:t>
            </w:r>
            <w:r w:rsidRPr="00BB36A5">
              <w:rPr>
                <w:rFonts w:asciiTheme="majorHAnsi" w:eastAsiaTheme="minorEastAsia" w:hAnsiTheme="majorHAnsi" w:cstheme="majorHAnsi"/>
                <w:lang w:val="es-PR"/>
              </w:rPr>
              <w:t>ia</w:t>
            </w:r>
            <w:r w:rsidR="008A0054" w:rsidRPr="00BB36A5">
              <w:rPr>
                <w:rFonts w:asciiTheme="majorHAnsi" w:eastAsiaTheme="minorEastAsia" w:hAnsiTheme="majorHAnsi" w:cstheme="majorHAnsi"/>
                <w:lang w:val="es-PR"/>
              </w:rPr>
              <w:t xml:space="preserve"> y está a cargo del cumplimiento del </w:t>
            </w:r>
            <w:r w:rsidRPr="00BB36A5">
              <w:rPr>
                <w:rFonts w:asciiTheme="majorHAnsi" w:eastAsiaTheme="minorEastAsia" w:hAnsiTheme="majorHAnsi" w:cstheme="majorHAnsi"/>
                <w:lang w:val="es-PR"/>
              </w:rPr>
              <w:t>P</w:t>
            </w:r>
            <w:r w:rsidR="008A0054" w:rsidRPr="00BB36A5">
              <w:rPr>
                <w:rFonts w:asciiTheme="majorHAnsi" w:eastAsiaTheme="minorEastAsia" w:hAnsiTheme="majorHAnsi" w:cstheme="majorHAnsi"/>
                <w:lang w:val="es-PR"/>
              </w:rPr>
              <w:t>rograma con las normas, regulaciones y requisitos aplicables.</w:t>
            </w:r>
          </w:p>
        </w:tc>
      </w:tr>
      <w:tr w:rsidR="000C6A0D" w:rsidRPr="00BB36A5" w14:paraId="59ADE833" w14:textId="77777777" w:rsidTr="00652B0A">
        <w:tc>
          <w:tcPr>
            <w:tcW w:w="1560" w:type="dxa"/>
            <w:vAlign w:val="center"/>
          </w:tcPr>
          <w:p w14:paraId="029388B8"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Héctor Díaz</w:t>
            </w:r>
          </w:p>
        </w:tc>
        <w:tc>
          <w:tcPr>
            <w:tcW w:w="1842" w:type="dxa"/>
            <w:vAlign w:val="center"/>
          </w:tcPr>
          <w:p w14:paraId="70F09B5C" w14:textId="66CAD30B" w:rsidR="000C6A0D" w:rsidRPr="00BB36A5" w:rsidRDefault="0095414E"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Oficial</w:t>
            </w:r>
            <w:proofErr w:type="spellEnd"/>
            <w:r w:rsidRPr="00BB36A5">
              <w:rPr>
                <w:rFonts w:asciiTheme="majorHAnsi" w:eastAsiaTheme="minorEastAsia" w:hAnsiTheme="majorHAnsi" w:cstheme="majorHAnsi"/>
              </w:rPr>
              <w:t xml:space="preserve"> Fiscal</w:t>
            </w:r>
          </w:p>
        </w:tc>
        <w:tc>
          <w:tcPr>
            <w:tcW w:w="1276" w:type="dxa"/>
            <w:vAlign w:val="center"/>
          </w:tcPr>
          <w:p w14:paraId="5985122E"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60%</w:t>
            </w:r>
          </w:p>
        </w:tc>
        <w:tc>
          <w:tcPr>
            <w:tcW w:w="6117" w:type="dxa"/>
            <w:vAlign w:val="center"/>
          </w:tcPr>
          <w:p w14:paraId="611765EC" w14:textId="24029FDC" w:rsidR="000C6A0D" w:rsidRPr="00BB36A5" w:rsidRDefault="00532D1C"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El oficial fiscal, está encargado de preparar presupuestos, intervenciones de facturas, revisión de solicitudes, transferencia de fondos y todas las demás transacciones financieras.</w:t>
            </w:r>
          </w:p>
        </w:tc>
      </w:tr>
      <w:tr w:rsidR="000C6A0D" w:rsidRPr="00BB36A5" w14:paraId="1712EAB7" w14:textId="77777777" w:rsidTr="00652B0A">
        <w:tc>
          <w:tcPr>
            <w:tcW w:w="1560" w:type="dxa"/>
            <w:vAlign w:val="center"/>
          </w:tcPr>
          <w:p w14:paraId="7FB1C1B8"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Ana López</w:t>
            </w:r>
          </w:p>
        </w:tc>
        <w:tc>
          <w:tcPr>
            <w:tcW w:w="1842" w:type="dxa"/>
            <w:vAlign w:val="center"/>
          </w:tcPr>
          <w:p w14:paraId="61619DD6" w14:textId="07FD59CE" w:rsidR="000C6A0D" w:rsidRPr="00BB36A5" w:rsidRDefault="000C6A0D"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A</w:t>
            </w:r>
            <w:r w:rsidR="0095414E" w:rsidRPr="00BB36A5">
              <w:rPr>
                <w:rFonts w:asciiTheme="majorHAnsi" w:eastAsiaTheme="minorEastAsia" w:hAnsiTheme="majorHAnsi" w:cstheme="majorHAnsi"/>
              </w:rPr>
              <w:t>sistente</w:t>
            </w:r>
            <w:proofErr w:type="spellEnd"/>
            <w:r w:rsidR="0095414E" w:rsidRPr="00BB36A5">
              <w:rPr>
                <w:rFonts w:asciiTheme="majorHAnsi" w:eastAsiaTheme="minorEastAsia" w:hAnsiTheme="majorHAnsi" w:cstheme="majorHAnsi"/>
              </w:rPr>
              <w:t xml:space="preserve"> </w:t>
            </w:r>
            <w:proofErr w:type="spellStart"/>
            <w:r w:rsidR="0095414E" w:rsidRPr="00BB36A5">
              <w:rPr>
                <w:rFonts w:asciiTheme="majorHAnsi" w:eastAsiaTheme="minorEastAsia" w:hAnsiTheme="majorHAnsi" w:cstheme="majorHAnsi"/>
              </w:rPr>
              <w:t>Administrativo</w:t>
            </w:r>
            <w:proofErr w:type="spellEnd"/>
            <w:r w:rsidRPr="00BB36A5">
              <w:rPr>
                <w:rFonts w:asciiTheme="majorHAnsi" w:eastAsiaTheme="minorEastAsia" w:hAnsiTheme="majorHAnsi" w:cstheme="majorHAnsi"/>
              </w:rPr>
              <w:t xml:space="preserve"> III</w:t>
            </w:r>
          </w:p>
        </w:tc>
        <w:tc>
          <w:tcPr>
            <w:tcW w:w="1276" w:type="dxa"/>
            <w:vAlign w:val="center"/>
          </w:tcPr>
          <w:p w14:paraId="78F10D74"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60%</w:t>
            </w:r>
          </w:p>
        </w:tc>
        <w:tc>
          <w:tcPr>
            <w:tcW w:w="6117" w:type="dxa"/>
            <w:vAlign w:val="center"/>
          </w:tcPr>
          <w:p w14:paraId="529E1EDD" w14:textId="776F0C4A" w:rsidR="000C6A0D" w:rsidRPr="00BB36A5" w:rsidRDefault="00532D1C"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 xml:space="preserve">Esta encargada del seguimiento de las diferentes iniciativas, la recopilación y revisión de los documentos requeridos y la prestación de asistencia técnica cuando así lo soliciten los responsables de las iniciativas.  Además, trabaja con la preparación de informes y el manejo adecuada de la documentación del programa.  </w:t>
            </w:r>
          </w:p>
        </w:tc>
      </w:tr>
      <w:tr w:rsidR="000C6A0D" w:rsidRPr="00BB36A5" w14:paraId="31CF00EA" w14:textId="77777777" w:rsidTr="00652B0A">
        <w:tc>
          <w:tcPr>
            <w:tcW w:w="1560" w:type="dxa"/>
            <w:vAlign w:val="center"/>
          </w:tcPr>
          <w:p w14:paraId="4BC32D92" w14:textId="7419E8CD"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w:t>
            </w:r>
            <w:r w:rsidR="006841C1" w:rsidRPr="00BB36A5">
              <w:rPr>
                <w:rFonts w:asciiTheme="majorHAnsi" w:eastAsiaTheme="minorEastAsia" w:hAnsiTheme="majorHAnsi" w:cstheme="majorHAnsi"/>
              </w:rPr>
              <w:t>e</w:t>
            </w:r>
          </w:p>
        </w:tc>
        <w:tc>
          <w:tcPr>
            <w:tcW w:w="1842" w:type="dxa"/>
            <w:vAlign w:val="center"/>
          </w:tcPr>
          <w:p w14:paraId="19B811A2" w14:textId="176D74DA" w:rsidR="000C6A0D" w:rsidRPr="00BB36A5" w:rsidRDefault="000C6A0D" w:rsidP="00652B0A">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A</w:t>
            </w:r>
            <w:r w:rsidR="0095414E" w:rsidRPr="00BB36A5">
              <w:rPr>
                <w:rFonts w:asciiTheme="majorHAnsi" w:eastAsiaTheme="minorEastAsia" w:hAnsiTheme="majorHAnsi" w:cstheme="majorHAnsi"/>
              </w:rPr>
              <w:t>sistente</w:t>
            </w:r>
            <w:proofErr w:type="spellEnd"/>
            <w:r w:rsidR="0095414E" w:rsidRPr="00BB36A5">
              <w:rPr>
                <w:rFonts w:asciiTheme="majorHAnsi" w:eastAsiaTheme="minorEastAsia" w:hAnsiTheme="majorHAnsi" w:cstheme="majorHAnsi"/>
              </w:rPr>
              <w:t xml:space="preserve"> </w:t>
            </w:r>
            <w:proofErr w:type="spellStart"/>
            <w:r w:rsidR="0095414E" w:rsidRPr="00BB36A5">
              <w:rPr>
                <w:rFonts w:asciiTheme="majorHAnsi" w:eastAsiaTheme="minorEastAsia" w:hAnsiTheme="majorHAnsi" w:cstheme="majorHAnsi"/>
              </w:rPr>
              <w:t>Administrativo</w:t>
            </w:r>
            <w:proofErr w:type="spellEnd"/>
            <w:r w:rsidRPr="00BB36A5">
              <w:rPr>
                <w:rFonts w:asciiTheme="majorHAnsi" w:eastAsiaTheme="minorEastAsia" w:hAnsiTheme="majorHAnsi" w:cstheme="majorHAnsi"/>
              </w:rPr>
              <w:t xml:space="preserve"> II</w:t>
            </w:r>
          </w:p>
        </w:tc>
        <w:tc>
          <w:tcPr>
            <w:tcW w:w="1276" w:type="dxa"/>
            <w:vAlign w:val="center"/>
          </w:tcPr>
          <w:p w14:paraId="4589344A" w14:textId="77777777" w:rsidR="000C6A0D" w:rsidRPr="00BB36A5" w:rsidRDefault="000C6A0D" w:rsidP="00652B0A">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60%</w:t>
            </w:r>
          </w:p>
        </w:tc>
        <w:tc>
          <w:tcPr>
            <w:tcW w:w="6117" w:type="dxa"/>
            <w:vAlign w:val="center"/>
          </w:tcPr>
          <w:p w14:paraId="3BA7DCD1" w14:textId="7924D2B5" w:rsidR="000C6A0D" w:rsidRPr="00BB36A5" w:rsidRDefault="00532D1C" w:rsidP="00532D1C">
            <w:pPr>
              <w:pStyle w:val="ListParagraph"/>
              <w:ind w:left="0"/>
              <w:jc w:val="both"/>
              <w:rPr>
                <w:rFonts w:asciiTheme="majorHAnsi" w:eastAsiaTheme="minorEastAsia" w:hAnsiTheme="majorHAnsi" w:cstheme="majorHAnsi"/>
                <w:lang w:val="es-PR"/>
              </w:rPr>
            </w:pPr>
            <w:r w:rsidRPr="00BB36A5">
              <w:rPr>
                <w:rFonts w:asciiTheme="majorHAnsi" w:eastAsiaTheme="minorEastAsia" w:hAnsiTheme="majorHAnsi" w:cstheme="majorHAnsi"/>
                <w:lang w:val="es-PR"/>
              </w:rPr>
              <w:t xml:space="preserve">La persona encargada de prestar asistencia a la Sra. López en todas las tareas administrativas y en la preparación de informes. Apoya el manejo adecuado de la documentación del programa y las comunicaciones.  </w:t>
            </w:r>
          </w:p>
        </w:tc>
      </w:tr>
    </w:tbl>
    <w:p w14:paraId="348A7666" w14:textId="54EA2819" w:rsidR="00F6707E" w:rsidRPr="00BB36A5" w:rsidRDefault="00F6707E" w:rsidP="00342E9E">
      <w:pPr>
        <w:pStyle w:val="Default"/>
        <w:spacing w:after="9"/>
        <w:rPr>
          <w:rFonts w:asciiTheme="majorHAnsi" w:hAnsiTheme="majorHAnsi" w:cstheme="majorHAnsi"/>
          <w:color w:val="FF0000"/>
          <w:lang w:val="es-PR"/>
        </w:rPr>
      </w:pPr>
    </w:p>
    <w:p w14:paraId="3B230058" w14:textId="41D47C06" w:rsidR="00F6707E" w:rsidRPr="00BB36A5" w:rsidRDefault="001003D1" w:rsidP="001003D1">
      <w:pPr>
        <w:pStyle w:val="Default"/>
        <w:spacing w:after="9"/>
        <w:jc w:val="both"/>
        <w:rPr>
          <w:rFonts w:asciiTheme="majorHAnsi" w:hAnsiTheme="majorHAnsi" w:cstheme="majorHAnsi"/>
          <w:color w:val="auto"/>
          <w:lang w:val="es-PR"/>
        </w:rPr>
      </w:pPr>
      <w:r w:rsidRPr="00BB36A5">
        <w:rPr>
          <w:rFonts w:asciiTheme="majorHAnsi" w:hAnsiTheme="majorHAnsi" w:cstheme="majorHAnsi"/>
          <w:b/>
          <w:bCs/>
          <w:color w:val="auto"/>
          <w:lang w:val="es-PR"/>
        </w:rPr>
        <w:t>Nota:</w:t>
      </w:r>
      <w:r w:rsidRPr="00BB36A5">
        <w:rPr>
          <w:rFonts w:asciiTheme="majorHAnsi" w:hAnsiTheme="majorHAnsi" w:cstheme="majorHAnsi"/>
          <w:color w:val="auto"/>
          <w:lang w:val="es-PR"/>
        </w:rPr>
        <w:t xml:space="preserve"> Los cambios en la administración y otras razones</w:t>
      </w:r>
      <w:r w:rsidR="00FB0D60" w:rsidRPr="00BB36A5">
        <w:rPr>
          <w:rFonts w:asciiTheme="majorHAnsi" w:hAnsiTheme="majorHAnsi" w:cstheme="majorHAnsi"/>
          <w:color w:val="auto"/>
          <w:lang w:val="es-PR"/>
        </w:rPr>
        <w:t>,</w:t>
      </w:r>
      <w:r w:rsidRPr="00BB36A5">
        <w:rPr>
          <w:rFonts w:asciiTheme="majorHAnsi" w:hAnsiTheme="majorHAnsi" w:cstheme="majorHAnsi"/>
          <w:color w:val="auto"/>
          <w:lang w:val="es-PR"/>
        </w:rPr>
        <w:t xml:space="preserve"> han retrasado </w:t>
      </w:r>
      <w:r w:rsidR="00FB0D60" w:rsidRPr="00BB36A5">
        <w:rPr>
          <w:rFonts w:asciiTheme="majorHAnsi" w:hAnsiTheme="majorHAnsi" w:cstheme="majorHAnsi"/>
          <w:color w:val="auto"/>
          <w:lang w:val="es-PR"/>
        </w:rPr>
        <w:t>a</w:t>
      </w:r>
      <w:r w:rsidRPr="00BB36A5">
        <w:rPr>
          <w:rFonts w:asciiTheme="majorHAnsi" w:hAnsiTheme="majorHAnsi" w:cstheme="majorHAnsi"/>
          <w:color w:val="auto"/>
          <w:lang w:val="es-PR"/>
        </w:rPr>
        <w:t>l programa en la contratación del nuevo líder o principal de cumplimiento de</w:t>
      </w:r>
      <w:r w:rsidR="00FB0D60" w:rsidRPr="00BB36A5">
        <w:rPr>
          <w:rFonts w:asciiTheme="majorHAnsi" w:hAnsiTheme="majorHAnsi" w:cstheme="majorHAnsi"/>
          <w:color w:val="auto"/>
          <w:lang w:val="es-PR"/>
        </w:rPr>
        <w:t>bido a</w:t>
      </w:r>
      <w:r w:rsidRPr="00BB36A5">
        <w:rPr>
          <w:rFonts w:asciiTheme="majorHAnsi" w:hAnsiTheme="majorHAnsi" w:cstheme="majorHAnsi"/>
          <w:color w:val="auto"/>
          <w:lang w:val="es-PR"/>
        </w:rPr>
        <w:t xml:space="preserve"> que la persona que ocupaba el mismo se retiró/jubilo. Desde la jubilación del líder o principal de cumplimiento, el Sr. Delgado ha estado a cargo de las actividades relacionadas </w:t>
      </w:r>
      <w:r w:rsidR="00FB0D60" w:rsidRPr="00BB36A5">
        <w:rPr>
          <w:rFonts w:asciiTheme="majorHAnsi" w:hAnsiTheme="majorHAnsi" w:cstheme="majorHAnsi"/>
          <w:color w:val="auto"/>
          <w:lang w:val="es-PR"/>
        </w:rPr>
        <w:t>a</w:t>
      </w:r>
      <w:r w:rsidRPr="00BB36A5">
        <w:rPr>
          <w:rFonts w:asciiTheme="majorHAnsi" w:hAnsiTheme="majorHAnsi" w:cstheme="majorHAnsi"/>
          <w:color w:val="auto"/>
          <w:lang w:val="es-PR"/>
        </w:rPr>
        <w:t xml:space="preserve"> cumplimiento y </w:t>
      </w:r>
      <w:r w:rsidR="00FB0D60" w:rsidRPr="00BB36A5">
        <w:rPr>
          <w:rFonts w:asciiTheme="majorHAnsi" w:hAnsiTheme="majorHAnsi" w:cstheme="majorHAnsi"/>
          <w:color w:val="auto"/>
          <w:lang w:val="es-PR"/>
        </w:rPr>
        <w:t>funciones</w:t>
      </w:r>
      <w:r w:rsidRPr="00BB36A5">
        <w:rPr>
          <w:rFonts w:asciiTheme="majorHAnsi" w:hAnsiTheme="majorHAnsi" w:cstheme="majorHAnsi"/>
          <w:color w:val="auto"/>
          <w:lang w:val="es-PR"/>
        </w:rPr>
        <w:t xml:space="preserve"> relacionadas.  El Sr. Delgado continuará siendo el </w:t>
      </w:r>
      <w:r w:rsidRPr="00BB36A5">
        <w:rPr>
          <w:rFonts w:asciiTheme="majorHAnsi" w:hAnsiTheme="majorHAnsi" w:cstheme="majorHAnsi"/>
          <w:color w:val="auto"/>
          <w:lang w:val="es-PR"/>
        </w:rPr>
        <w:lastRenderedPageBreak/>
        <w:t>encargado de dichas tareas hasta que se designe o contrate una nueva persona para trabajar en la posición vacante como parte del programa.</w:t>
      </w:r>
    </w:p>
    <w:p w14:paraId="480302A4" w14:textId="77777777" w:rsidR="001003D1" w:rsidRPr="00BB36A5" w:rsidRDefault="001003D1" w:rsidP="001003D1">
      <w:pPr>
        <w:pStyle w:val="Default"/>
        <w:spacing w:after="9"/>
        <w:jc w:val="both"/>
        <w:rPr>
          <w:rFonts w:asciiTheme="majorHAnsi" w:hAnsiTheme="majorHAnsi" w:cstheme="majorHAnsi"/>
          <w:color w:val="auto"/>
          <w:lang w:val="es-PR"/>
        </w:rPr>
      </w:pPr>
    </w:p>
    <w:p w14:paraId="53DBAA91" w14:textId="77777777" w:rsidR="001003D1" w:rsidRPr="00BB36A5" w:rsidRDefault="001003D1" w:rsidP="000C6A0D">
      <w:pPr>
        <w:pStyle w:val="Default"/>
        <w:spacing w:after="9"/>
        <w:rPr>
          <w:rFonts w:asciiTheme="majorHAnsi" w:hAnsiTheme="majorHAnsi" w:cstheme="majorHAnsi"/>
          <w:color w:val="FF0000"/>
          <w:lang w:val="es-PR"/>
        </w:rPr>
      </w:pPr>
    </w:p>
    <w:p w14:paraId="600C18B4" w14:textId="77777777" w:rsidR="00F6707E" w:rsidRPr="00BB36A5" w:rsidRDefault="00F6707E" w:rsidP="00342E9E">
      <w:pPr>
        <w:pStyle w:val="Default"/>
        <w:spacing w:after="9"/>
        <w:rPr>
          <w:rFonts w:asciiTheme="majorHAnsi" w:hAnsiTheme="majorHAnsi" w:cstheme="majorHAnsi"/>
          <w:color w:val="FF0000"/>
          <w:lang w:val="es-PR"/>
        </w:rPr>
      </w:pPr>
    </w:p>
    <w:p w14:paraId="15802210" w14:textId="1B08C04B" w:rsidR="005B5C47" w:rsidRPr="00BB36A5" w:rsidRDefault="009E6983" w:rsidP="009239F6">
      <w:pPr>
        <w:pStyle w:val="Default"/>
        <w:spacing w:after="9"/>
        <w:jc w:val="center"/>
        <w:rPr>
          <w:rFonts w:asciiTheme="majorHAnsi" w:hAnsiTheme="majorHAnsi" w:cstheme="majorHAnsi"/>
          <w:color w:val="auto"/>
          <w:lang w:val="es-PR"/>
        </w:rPr>
      </w:pPr>
      <w:r w:rsidRPr="00BB36A5">
        <w:rPr>
          <w:rFonts w:asciiTheme="majorHAnsi" w:hAnsiTheme="majorHAnsi" w:cstheme="majorHAnsi"/>
          <w:color w:val="auto"/>
          <w:lang w:val="es-PR"/>
        </w:rPr>
        <w:t>Ta</w:t>
      </w:r>
      <w:r w:rsidR="004439DA" w:rsidRPr="00BB36A5">
        <w:rPr>
          <w:rFonts w:asciiTheme="majorHAnsi" w:hAnsiTheme="majorHAnsi" w:cstheme="majorHAnsi"/>
          <w:color w:val="auto"/>
          <w:lang w:val="es-PR"/>
        </w:rPr>
        <w:t>bla</w:t>
      </w:r>
      <w:r w:rsidRPr="00BB36A5">
        <w:rPr>
          <w:rFonts w:asciiTheme="majorHAnsi" w:hAnsiTheme="majorHAnsi" w:cstheme="majorHAnsi"/>
          <w:color w:val="auto"/>
          <w:lang w:val="es-PR"/>
        </w:rPr>
        <w:t xml:space="preserve"> 2</w:t>
      </w:r>
    </w:p>
    <w:p w14:paraId="1C65B0A6" w14:textId="76C59369" w:rsidR="00F54322" w:rsidRPr="00BB36A5" w:rsidRDefault="004439DA" w:rsidP="00F5432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Para cumplir con estos criterios, el DEPR estableció lo siguiente:</w:t>
      </w:r>
    </w:p>
    <w:p w14:paraId="04369E89" w14:textId="77777777" w:rsidR="00F54322" w:rsidRPr="00BB36A5" w:rsidRDefault="00F54322" w:rsidP="00F54322">
      <w:pPr>
        <w:pStyle w:val="Default"/>
        <w:spacing w:after="9"/>
        <w:jc w:val="both"/>
        <w:rPr>
          <w:rFonts w:asciiTheme="majorHAnsi" w:hAnsiTheme="majorHAnsi" w:cstheme="majorHAnsi"/>
          <w:color w:val="auto"/>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918"/>
        <w:gridCol w:w="3357"/>
      </w:tblGrid>
      <w:tr w:rsidR="00342E9E" w:rsidRPr="00BB36A5" w14:paraId="5B27B3B6" w14:textId="77777777" w:rsidTr="001B50CE">
        <w:tc>
          <w:tcPr>
            <w:tcW w:w="1795" w:type="dxa"/>
            <w:tcBorders>
              <w:top w:val="single" w:sz="4" w:space="0" w:color="auto"/>
              <w:bottom w:val="single" w:sz="4" w:space="0" w:color="auto"/>
            </w:tcBorders>
          </w:tcPr>
          <w:p w14:paraId="3E6C9329" w14:textId="1C384936" w:rsidR="00F54322" w:rsidRPr="00BB36A5" w:rsidRDefault="00F54322" w:rsidP="001B50CE">
            <w:pPr>
              <w:pStyle w:val="Default"/>
              <w:spacing w:after="9"/>
              <w:jc w:val="center"/>
              <w:rPr>
                <w:rFonts w:asciiTheme="majorHAnsi" w:hAnsiTheme="majorHAnsi" w:cstheme="majorHAnsi"/>
                <w:color w:val="auto"/>
              </w:rPr>
            </w:pPr>
            <w:proofErr w:type="spellStart"/>
            <w:r w:rsidRPr="00BB36A5">
              <w:rPr>
                <w:rFonts w:asciiTheme="majorHAnsi" w:hAnsiTheme="majorHAnsi" w:cstheme="majorHAnsi"/>
                <w:color w:val="auto"/>
              </w:rPr>
              <w:t>T</w:t>
            </w:r>
            <w:r w:rsidR="004439DA" w:rsidRPr="00BB36A5">
              <w:rPr>
                <w:rFonts w:asciiTheme="majorHAnsi" w:hAnsiTheme="majorHAnsi" w:cstheme="majorHAnsi"/>
                <w:color w:val="auto"/>
              </w:rPr>
              <w:t>ipos</w:t>
            </w:r>
            <w:proofErr w:type="spellEnd"/>
            <w:r w:rsidR="004439DA" w:rsidRPr="00BB36A5">
              <w:rPr>
                <w:rFonts w:asciiTheme="majorHAnsi" w:hAnsiTheme="majorHAnsi" w:cstheme="majorHAnsi"/>
                <w:color w:val="auto"/>
              </w:rPr>
              <w:t xml:space="preserve"> de </w:t>
            </w:r>
            <w:proofErr w:type="spellStart"/>
            <w:r w:rsidR="004439DA" w:rsidRPr="00BB36A5">
              <w:rPr>
                <w:rFonts w:asciiTheme="majorHAnsi" w:hAnsiTheme="majorHAnsi" w:cstheme="majorHAnsi"/>
                <w:color w:val="auto"/>
              </w:rPr>
              <w:t>Controles</w:t>
            </w:r>
            <w:proofErr w:type="spellEnd"/>
          </w:p>
        </w:tc>
        <w:tc>
          <w:tcPr>
            <w:tcW w:w="4918" w:type="dxa"/>
            <w:tcBorders>
              <w:top w:val="single" w:sz="4" w:space="0" w:color="auto"/>
              <w:bottom w:val="single" w:sz="4" w:space="0" w:color="auto"/>
            </w:tcBorders>
          </w:tcPr>
          <w:p w14:paraId="665657DF" w14:textId="0FA6C3DB" w:rsidR="00F54322" w:rsidRPr="00BB36A5" w:rsidRDefault="00F54322" w:rsidP="001B50CE">
            <w:pPr>
              <w:pStyle w:val="Default"/>
              <w:spacing w:after="9"/>
              <w:jc w:val="center"/>
              <w:rPr>
                <w:rFonts w:asciiTheme="majorHAnsi" w:hAnsiTheme="majorHAnsi" w:cstheme="majorHAnsi"/>
                <w:color w:val="auto"/>
              </w:rPr>
            </w:pPr>
            <w:proofErr w:type="spellStart"/>
            <w:r w:rsidRPr="00BB36A5">
              <w:rPr>
                <w:rFonts w:asciiTheme="majorHAnsi" w:hAnsiTheme="majorHAnsi" w:cstheme="majorHAnsi"/>
                <w:color w:val="auto"/>
              </w:rPr>
              <w:t>Defini</w:t>
            </w:r>
            <w:r w:rsidR="004439DA" w:rsidRPr="00BB36A5">
              <w:rPr>
                <w:rFonts w:asciiTheme="majorHAnsi" w:hAnsiTheme="majorHAnsi" w:cstheme="majorHAnsi"/>
                <w:color w:val="auto"/>
              </w:rPr>
              <w:t>ci</w:t>
            </w:r>
            <w:r w:rsidR="008B5068" w:rsidRPr="00BB36A5">
              <w:rPr>
                <w:rFonts w:asciiTheme="majorHAnsi" w:hAnsiTheme="majorHAnsi" w:cstheme="majorHAnsi"/>
                <w:color w:val="auto"/>
              </w:rPr>
              <w:t>ó</w:t>
            </w:r>
            <w:r w:rsidR="004439DA" w:rsidRPr="00BB36A5">
              <w:rPr>
                <w:rFonts w:asciiTheme="majorHAnsi" w:hAnsiTheme="majorHAnsi" w:cstheme="majorHAnsi"/>
                <w:color w:val="auto"/>
              </w:rPr>
              <w:t>n</w:t>
            </w:r>
            <w:proofErr w:type="spellEnd"/>
          </w:p>
        </w:tc>
        <w:tc>
          <w:tcPr>
            <w:tcW w:w="3357" w:type="dxa"/>
            <w:tcBorders>
              <w:top w:val="single" w:sz="4" w:space="0" w:color="auto"/>
              <w:bottom w:val="single" w:sz="4" w:space="0" w:color="auto"/>
            </w:tcBorders>
          </w:tcPr>
          <w:p w14:paraId="1975E6E6" w14:textId="7129A8CE" w:rsidR="00F54322" w:rsidRPr="00BB36A5" w:rsidRDefault="00F54322" w:rsidP="001B50CE">
            <w:pPr>
              <w:pStyle w:val="Default"/>
              <w:spacing w:after="9"/>
              <w:jc w:val="center"/>
              <w:rPr>
                <w:rFonts w:asciiTheme="majorHAnsi" w:hAnsiTheme="majorHAnsi" w:cstheme="majorHAnsi"/>
                <w:color w:val="auto"/>
              </w:rPr>
            </w:pPr>
            <w:proofErr w:type="spellStart"/>
            <w:r w:rsidRPr="00BB36A5">
              <w:rPr>
                <w:rFonts w:asciiTheme="majorHAnsi" w:hAnsiTheme="majorHAnsi" w:cstheme="majorHAnsi"/>
                <w:color w:val="auto"/>
              </w:rPr>
              <w:t>Activ</w:t>
            </w:r>
            <w:r w:rsidR="004439DA" w:rsidRPr="00BB36A5">
              <w:rPr>
                <w:rFonts w:asciiTheme="majorHAnsi" w:hAnsiTheme="majorHAnsi" w:cstheme="majorHAnsi"/>
                <w:color w:val="auto"/>
              </w:rPr>
              <w:t>idad</w:t>
            </w:r>
            <w:proofErr w:type="spellEnd"/>
          </w:p>
        </w:tc>
      </w:tr>
      <w:tr w:rsidR="00342E9E" w:rsidRPr="00BB36A5" w14:paraId="502926CF" w14:textId="77777777" w:rsidTr="001B50CE">
        <w:tc>
          <w:tcPr>
            <w:tcW w:w="1795" w:type="dxa"/>
            <w:tcBorders>
              <w:top w:val="single" w:sz="4" w:space="0" w:color="auto"/>
            </w:tcBorders>
          </w:tcPr>
          <w:p w14:paraId="1D2622C3" w14:textId="118A2BDE" w:rsidR="00F54322" w:rsidRPr="00BB36A5" w:rsidRDefault="004C5EB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El tono establecido o apropiado del Programa y Gerencia</w:t>
            </w:r>
          </w:p>
        </w:tc>
        <w:tc>
          <w:tcPr>
            <w:tcW w:w="4918" w:type="dxa"/>
            <w:tcBorders>
              <w:top w:val="single" w:sz="4" w:space="0" w:color="auto"/>
            </w:tcBorders>
          </w:tcPr>
          <w:p w14:paraId="5B105DEB" w14:textId="14C90368" w:rsidR="00F54322" w:rsidRPr="00BB36A5" w:rsidRDefault="004C5EB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Compromiso con la integridad y los valores éticos de la organización</w:t>
            </w:r>
          </w:p>
        </w:tc>
        <w:tc>
          <w:tcPr>
            <w:tcW w:w="3357" w:type="dxa"/>
            <w:tcBorders>
              <w:top w:val="single" w:sz="4" w:space="0" w:color="auto"/>
            </w:tcBorders>
          </w:tcPr>
          <w:p w14:paraId="1DEFDA5D" w14:textId="2C94F887" w:rsidR="00F54322" w:rsidRPr="00BB36A5" w:rsidRDefault="00F54322"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Directiv</w:t>
            </w:r>
            <w:r w:rsidR="004C5EB4" w:rsidRPr="00BB36A5">
              <w:rPr>
                <w:rFonts w:asciiTheme="majorHAnsi" w:hAnsiTheme="majorHAnsi" w:cstheme="majorHAnsi"/>
                <w:color w:val="auto"/>
                <w:lang w:val="es-PR"/>
              </w:rPr>
              <w:t>as</w:t>
            </w:r>
            <w:r w:rsidR="005B5C47" w:rsidRPr="00BB36A5">
              <w:rPr>
                <w:rFonts w:asciiTheme="majorHAnsi" w:hAnsiTheme="majorHAnsi" w:cstheme="majorHAnsi"/>
                <w:color w:val="auto"/>
                <w:lang w:val="es-PR"/>
              </w:rPr>
              <w:t xml:space="preserve"> (</w:t>
            </w:r>
            <w:r w:rsidR="004C5EB4" w:rsidRPr="00BB36A5">
              <w:rPr>
                <w:rFonts w:asciiTheme="majorHAnsi" w:hAnsiTheme="majorHAnsi" w:cstheme="majorHAnsi"/>
                <w:i/>
                <w:iCs/>
                <w:color w:val="auto"/>
                <w:lang w:val="es-PR"/>
              </w:rPr>
              <w:t>emails</w:t>
            </w:r>
            <w:r w:rsidR="005B5C47" w:rsidRPr="00BB36A5">
              <w:rPr>
                <w:rFonts w:asciiTheme="majorHAnsi" w:hAnsiTheme="majorHAnsi" w:cstheme="majorHAnsi"/>
                <w:color w:val="auto"/>
                <w:lang w:val="es-PR"/>
              </w:rPr>
              <w:t>, memos)</w:t>
            </w:r>
            <w:r w:rsidR="00F70CF4" w:rsidRPr="00BB36A5">
              <w:rPr>
                <w:rFonts w:asciiTheme="majorHAnsi" w:hAnsiTheme="majorHAnsi" w:cstheme="majorHAnsi"/>
                <w:color w:val="auto"/>
                <w:lang w:val="es-PR"/>
              </w:rPr>
              <w:t xml:space="preserve">.  </w:t>
            </w:r>
          </w:p>
          <w:p w14:paraId="1598DB09" w14:textId="7AD4EA38" w:rsidR="00F54322" w:rsidRPr="00BB36A5" w:rsidRDefault="004C5EB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Políticas </w:t>
            </w:r>
            <w:r w:rsidR="00F70CF4" w:rsidRPr="00BB36A5">
              <w:rPr>
                <w:rFonts w:asciiTheme="majorHAnsi" w:hAnsiTheme="majorHAnsi" w:cstheme="majorHAnsi"/>
                <w:color w:val="auto"/>
                <w:lang w:val="es-PR"/>
              </w:rPr>
              <w:t>(</w:t>
            </w:r>
            <w:r w:rsidRPr="00BB36A5">
              <w:rPr>
                <w:rFonts w:asciiTheme="majorHAnsi" w:hAnsiTheme="majorHAnsi" w:cstheme="majorHAnsi"/>
                <w:color w:val="auto"/>
                <w:lang w:val="es-PR"/>
              </w:rPr>
              <w:t>Cumplimiento con Ley de Etica</w:t>
            </w:r>
            <w:r w:rsidR="00F70CF4" w:rsidRPr="00BB36A5">
              <w:rPr>
                <w:rFonts w:asciiTheme="majorHAnsi" w:hAnsiTheme="majorHAnsi" w:cstheme="majorHAnsi"/>
                <w:color w:val="auto"/>
                <w:lang w:val="es-PR"/>
              </w:rPr>
              <w:t>)</w:t>
            </w:r>
          </w:p>
          <w:p w14:paraId="2417930E" w14:textId="3F6E7E2F" w:rsidR="00F54322" w:rsidRPr="00BB36A5" w:rsidRDefault="00F54322"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L</w:t>
            </w:r>
            <w:r w:rsidR="004C5EB4" w:rsidRPr="00BB36A5">
              <w:rPr>
                <w:rFonts w:asciiTheme="majorHAnsi" w:hAnsiTheme="majorHAnsi" w:cstheme="majorHAnsi"/>
                <w:color w:val="auto"/>
                <w:lang w:val="es-PR"/>
              </w:rPr>
              <w:t>iderar con Ejemplo</w:t>
            </w:r>
          </w:p>
          <w:p w14:paraId="37714F10" w14:textId="61A85659" w:rsidR="00F54322" w:rsidRPr="00BB36A5" w:rsidRDefault="004C5EB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Reuniones del Personal</w:t>
            </w:r>
            <w:r w:rsidR="00F70CF4" w:rsidRPr="00BB36A5">
              <w:rPr>
                <w:rFonts w:asciiTheme="majorHAnsi" w:hAnsiTheme="majorHAnsi" w:cstheme="majorHAnsi"/>
                <w:color w:val="auto"/>
                <w:lang w:val="es-PR"/>
              </w:rPr>
              <w:t xml:space="preserve"> (Ev</w:t>
            </w:r>
            <w:r w:rsidRPr="00BB36A5">
              <w:rPr>
                <w:rFonts w:asciiTheme="majorHAnsi" w:hAnsiTheme="majorHAnsi" w:cstheme="majorHAnsi"/>
                <w:color w:val="auto"/>
                <w:lang w:val="es-PR"/>
              </w:rPr>
              <w:t>idenciadas por minutas</w:t>
            </w:r>
            <w:r w:rsidR="00F70CF4" w:rsidRPr="00BB36A5">
              <w:rPr>
                <w:rFonts w:asciiTheme="majorHAnsi" w:hAnsiTheme="majorHAnsi" w:cstheme="majorHAnsi"/>
                <w:color w:val="auto"/>
                <w:lang w:val="es-PR"/>
              </w:rPr>
              <w:t>)</w:t>
            </w:r>
          </w:p>
          <w:p w14:paraId="10F2DD86" w14:textId="77777777" w:rsidR="00F54322" w:rsidRPr="00BB36A5" w:rsidRDefault="00F54322" w:rsidP="001B50CE">
            <w:pPr>
              <w:pStyle w:val="Default"/>
              <w:spacing w:after="9"/>
              <w:jc w:val="both"/>
              <w:rPr>
                <w:rFonts w:asciiTheme="majorHAnsi" w:hAnsiTheme="majorHAnsi" w:cstheme="majorHAnsi"/>
                <w:color w:val="auto"/>
                <w:lang w:val="es-PR"/>
              </w:rPr>
            </w:pPr>
          </w:p>
        </w:tc>
      </w:tr>
      <w:tr w:rsidR="00342E9E" w:rsidRPr="00BB36A5" w14:paraId="19FB21CB" w14:textId="77777777" w:rsidTr="001B50CE">
        <w:tc>
          <w:tcPr>
            <w:tcW w:w="1795" w:type="dxa"/>
          </w:tcPr>
          <w:p w14:paraId="55C2B7D4" w14:textId="588A1C37" w:rsidR="00F54322" w:rsidRPr="00BB36A5" w:rsidRDefault="004C5EB4" w:rsidP="001B50CE">
            <w:pPr>
              <w:pStyle w:val="Default"/>
              <w:spacing w:after="9"/>
              <w:jc w:val="both"/>
              <w:rPr>
                <w:rFonts w:asciiTheme="majorHAnsi" w:hAnsiTheme="majorHAnsi" w:cstheme="majorHAnsi"/>
                <w:color w:val="auto"/>
              </w:rPr>
            </w:pPr>
            <w:r w:rsidRPr="00BB36A5">
              <w:rPr>
                <w:rFonts w:asciiTheme="majorHAnsi" w:hAnsiTheme="majorHAnsi" w:cstheme="majorHAnsi"/>
                <w:color w:val="auto"/>
              </w:rPr>
              <w:t>Supervision</w:t>
            </w:r>
          </w:p>
        </w:tc>
        <w:tc>
          <w:tcPr>
            <w:tcW w:w="4918" w:type="dxa"/>
          </w:tcPr>
          <w:p w14:paraId="5FE2E7DA" w14:textId="26D80891" w:rsidR="004C5EB4" w:rsidRPr="00BB36A5" w:rsidRDefault="004C5EB4" w:rsidP="004C5EB4">
            <w:pPr>
              <w:rPr>
                <w:rFonts w:asciiTheme="majorHAnsi" w:hAnsiTheme="majorHAnsi" w:cstheme="majorHAnsi"/>
                <w:lang w:val="es-PR"/>
              </w:rPr>
            </w:pPr>
            <w:r w:rsidRPr="00BB36A5">
              <w:rPr>
                <w:rFonts w:asciiTheme="majorHAnsi" w:hAnsiTheme="majorHAnsi" w:cstheme="majorHAnsi"/>
                <w:lang w:val="es-PR"/>
              </w:rPr>
              <w:t>Organismo de supervisión que supervisa el diseño, la implementación y el funcionamiento del sistema de control interno de la organización</w:t>
            </w:r>
          </w:p>
          <w:p w14:paraId="2A1317AF" w14:textId="1EE5895D" w:rsidR="00F54322" w:rsidRPr="00BB36A5" w:rsidRDefault="00F54322" w:rsidP="001B50CE">
            <w:pPr>
              <w:pStyle w:val="Default"/>
              <w:spacing w:after="9"/>
              <w:jc w:val="both"/>
              <w:rPr>
                <w:rFonts w:asciiTheme="majorHAnsi" w:hAnsiTheme="majorHAnsi" w:cstheme="majorHAnsi"/>
                <w:color w:val="auto"/>
                <w:lang w:val="es-PR"/>
              </w:rPr>
            </w:pPr>
          </w:p>
          <w:p w14:paraId="39805BFB" w14:textId="77777777" w:rsidR="00F54322" w:rsidRPr="00BB36A5" w:rsidRDefault="00F54322" w:rsidP="001B50CE">
            <w:pPr>
              <w:pStyle w:val="Default"/>
              <w:spacing w:after="9"/>
              <w:jc w:val="both"/>
              <w:rPr>
                <w:rFonts w:asciiTheme="majorHAnsi" w:hAnsiTheme="majorHAnsi" w:cstheme="majorHAnsi"/>
                <w:color w:val="auto"/>
                <w:lang w:val="es-PR"/>
              </w:rPr>
            </w:pPr>
          </w:p>
        </w:tc>
        <w:tc>
          <w:tcPr>
            <w:tcW w:w="3357" w:type="dxa"/>
          </w:tcPr>
          <w:p w14:paraId="0C5589FF" w14:textId="53CB9B7D" w:rsidR="00F54322" w:rsidRPr="00BB36A5" w:rsidRDefault="004C5EB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Oficial de Cumplimiento</w:t>
            </w:r>
            <w:r w:rsidR="00F70CF4" w:rsidRPr="00BB36A5">
              <w:rPr>
                <w:rFonts w:asciiTheme="majorHAnsi" w:hAnsiTheme="majorHAnsi" w:cstheme="majorHAnsi"/>
                <w:color w:val="auto"/>
                <w:lang w:val="es-PR"/>
              </w:rPr>
              <w:t xml:space="preserve"> (Evide</w:t>
            </w:r>
            <w:r w:rsidRPr="00BB36A5">
              <w:rPr>
                <w:rFonts w:asciiTheme="majorHAnsi" w:hAnsiTheme="majorHAnsi" w:cstheme="majorHAnsi"/>
                <w:color w:val="auto"/>
                <w:lang w:val="es-PR"/>
              </w:rPr>
              <w:t>nciado por</w:t>
            </w:r>
            <w:r w:rsidR="00F70CF4"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medio Evaluaciones</w:t>
            </w:r>
            <w:r w:rsidR="00E511E6"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para cada iniciativa</w:t>
            </w:r>
            <w:r w:rsidR="005B5C47"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Evaluación de Controles Internos</w:t>
            </w:r>
            <w:r w:rsidR="00F70CF4" w:rsidRPr="00BB36A5">
              <w:rPr>
                <w:rFonts w:asciiTheme="majorHAnsi" w:hAnsiTheme="majorHAnsi" w:cstheme="majorHAnsi"/>
                <w:color w:val="auto"/>
                <w:lang w:val="es-PR"/>
              </w:rPr>
              <w:t>)</w:t>
            </w:r>
          </w:p>
          <w:p w14:paraId="489BBEFF" w14:textId="77777777" w:rsidR="00F54322" w:rsidRPr="00BB36A5" w:rsidRDefault="00F54322" w:rsidP="001B50CE">
            <w:pPr>
              <w:pStyle w:val="Default"/>
              <w:spacing w:after="9"/>
              <w:jc w:val="both"/>
              <w:rPr>
                <w:rFonts w:asciiTheme="majorHAnsi" w:hAnsiTheme="majorHAnsi" w:cstheme="majorHAnsi"/>
                <w:color w:val="auto"/>
                <w:lang w:val="es-PR"/>
              </w:rPr>
            </w:pPr>
          </w:p>
        </w:tc>
      </w:tr>
      <w:tr w:rsidR="00342E9E" w:rsidRPr="00BB36A5" w14:paraId="363AB17C" w14:textId="77777777" w:rsidTr="001B50CE">
        <w:tc>
          <w:tcPr>
            <w:tcW w:w="1795" w:type="dxa"/>
          </w:tcPr>
          <w:p w14:paraId="524C2477" w14:textId="1E2A6626" w:rsidR="00F54322" w:rsidRPr="00BB36A5" w:rsidRDefault="00F54322" w:rsidP="001B50CE">
            <w:pPr>
              <w:pStyle w:val="Default"/>
              <w:spacing w:after="9"/>
              <w:jc w:val="both"/>
              <w:rPr>
                <w:rFonts w:asciiTheme="majorHAnsi" w:hAnsiTheme="majorHAnsi" w:cstheme="majorHAnsi"/>
                <w:color w:val="auto"/>
              </w:rPr>
            </w:pPr>
            <w:proofErr w:type="spellStart"/>
            <w:r w:rsidRPr="00BB36A5">
              <w:rPr>
                <w:rFonts w:asciiTheme="majorHAnsi" w:hAnsiTheme="majorHAnsi" w:cstheme="majorHAnsi"/>
                <w:color w:val="auto"/>
              </w:rPr>
              <w:t>Com</w:t>
            </w:r>
            <w:r w:rsidR="00E511E6" w:rsidRPr="00BB36A5">
              <w:rPr>
                <w:rFonts w:asciiTheme="majorHAnsi" w:hAnsiTheme="majorHAnsi" w:cstheme="majorHAnsi"/>
                <w:color w:val="auto"/>
              </w:rPr>
              <w:t>promiso</w:t>
            </w:r>
            <w:proofErr w:type="spellEnd"/>
          </w:p>
        </w:tc>
        <w:tc>
          <w:tcPr>
            <w:tcW w:w="4918" w:type="dxa"/>
          </w:tcPr>
          <w:p w14:paraId="32354A9A" w14:textId="0660FCA8" w:rsidR="00F54322" w:rsidRPr="00BB36A5" w:rsidRDefault="00E511E6"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Expectativas de competencia en la contratación, desarrollo y retención de personal</w:t>
            </w:r>
          </w:p>
        </w:tc>
        <w:tc>
          <w:tcPr>
            <w:tcW w:w="3357" w:type="dxa"/>
          </w:tcPr>
          <w:p w14:paraId="417BC705" w14:textId="2569103C" w:rsidR="00F54322" w:rsidRPr="00BB36A5" w:rsidRDefault="0093037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Descripción de la posición</w:t>
            </w:r>
            <w:r w:rsidR="005432FD"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 xml:space="preserve">forma </w:t>
            </w:r>
            <w:r w:rsidR="005432FD" w:rsidRPr="00BB36A5">
              <w:rPr>
                <w:rFonts w:asciiTheme="majorHAnsi" w:hAnsiTheme="majorHAnsi" w:cstheme="majorHAnsi"/>
                <w:color w:val="auto"/>
                <w:lang w:val="es-PR"/>
              </w:rPr>
              <w:t>DE-</w:t>
            </w:r>
            <w:r w:rsidRPr="00BB36A5">
              <w:rPr>
                <w:rFonts w:asciiTheme="majorHAnsi" w:hAnsiTheme="majorHAnsi" w:cstheme="majorHAnsi"/>
                <w:color w:val="auto"/>
                <w:lang w:val="es-PR"/>
              </w:rPr>
              <w:t>16)</w:t>
            </w:r>
          </w:p>
          <w:p w14:paraId="448ED2D3" w14:textId="47E8120C" w:rsidR="00F54322" w:rsidRPr="00BB36A5" w:rsidRDefault="00930374"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Habilidades requeridas y certificación (Descripción del trabajo)</w:t>
            </w:r>
          </w:p>
        </w:tc>
      </w:tr>
      <w:tr w:rsidR="00342E9E" w:rsidRPr="00BB36A5" w14:paraId="4CE0AE32" w14:textId="77777777" w:rsidTr="001B50CE">
        <w:tc>
          <w:tcPr>
            <w:tcW w:w="1795" w:type="dxa"/>
            <w:tcBorders>
              <w:bottom w:val="single" w:sz="4" w:space="0" w:color="auto"/>
            </w:tcBorders>
          </w:tcPr>
          <w:p w14:paraId="04B7AACE" w14:textId="0CDC0DA6" w:rsidR="00F54322" w:rsidRPr="00BB36A5" w:rsidRDefault="00EA1F7F" w:rsidP="001B50C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Responsabilidad</w:t>
            </w:r>
          </w:p>
        </w:tc>
        <w:tc>
          <w:tcPr>
            <w:tcW w:w="4918" w:type="dxa"/>
            <w:tcBorders>
              <w:bottom w:val="single" w:sz="4" w:space="0" w:color="auto"/>
            </w:tcBorders>
          </w:tcPr>
          <w:p w14:paraId="152062A0" w14:textId="330FB25B" w:rsidR="00F54322" w:rsidRPr="00BB36A5" w:rsidRDefault="00EA1F7F" w:rsidP="001B50CE">
            <w:pPr>
              <w:pStyle w:val="Default"/>
              <w:spacing w:after="9"/>
              <w:jc w:val="both"/>
              <w:rPr>
                <w:rFonts w:asciiTheme="majorHAnsi" w:hAnsiTheme="majorHAnsi" w:cstheme="majorHAnsi"/>
                <w:color w:val="auto"/>
              </w:rPr>
            </w:pPr>
            <w:r w:rsidRPr="00BB36A5">
              <w:rPr>
                <w:rFonts w:asciiTheme="majorHAnsi" w:hAnsiTheme="majorHAnsi" w:cstheme="majorHAnsi"/>
                <w:color w:val="auto"/>
                <w:lang w:val="es-PR"/>
              </w:rPr>
              <w:t>Responsabilidades</w:t>
            </w:r>
            <w:r w:rsidRPr="00BB36A5">
              <w:rPr>
                <w:rFonts w:asciiTheme="majorHAnsi" w:hAnsiTheme="majorHAnsi" w:cstheme="majorHAnsi"/>
                <w:color w:val="auto"/>
              </w:rPr>
              <w:t xml:space="preserve"> del Personal</w:t>
            </w:r>
          </w:p>
        </w:tc>
        <w:tc>
          <w:tcPr>
            <w:tcW w:w="3357" w:type="dxa"/>
            <w:tcBorders>
              <w:bottom w:val="single" w:sz="4" w:space="0" w:color="auto"/>
            </w:tcBorders>
          </w:tcPr>
          <w:p w14:paraId="23C68C7E" w14:textId="77777777" w:rsidR="00EA1F7F" w:rsidRPr="00BB36A5" w:rsidRDefault="00EA1F7F" w:rsidP="00EA1F7F">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Toma de decisiones del día a día (planes de trabajo)</w:t>
            </w:r>
          </w:p>
          <w:p w14:paraId="130887BB" w14:textId="77777777" w:rsidR="00EA1F7F" w:rsidRPr="00BB36A5" w:rsidRDefault="00EA1F7F" w:rsidP="00EA1F7F">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Funciones y responsabilidades (DE-16)</w:t>
            </w:r>
          </w:p>
          <w:p w14:paraId="358D37E4" w14:textId="7C55CF52" w:rsidR="00F54322" w:rsidRPr="00BB36A5" w:rsidRDefault="00EA1F7F" w:rsidP="00EA1F7F">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Línea de autoridad (Organigrama)</w:t>
            </w:r>
          </w:p>
          <w:p w14:paraId="05A6037E" w14:textId="77777777" w:rsidR="00F54322" w:rsidRPr="00BB36A5" w:rsidRDefault="00F54322" w:rsidP="001B50CE">
            <w:pPr>
              <w:pStyle w:val="Default"/>
              <w:spacing w:after="9"/>
              <w:jc w:val="both"/>
              <w:rPr>
                <w:rFonts w:asciiTheme="majorHAnsi" w:hAnsiTheme="majorHAnsi" w:cstheme="majorHAnsi"/>
                <w:color w:val="auto"/>
                <w:lang w:val="es-PR"/>
              </w:rPr>
            </w:pPr>
          </w:p>
        </w:tc>
      </w:tr>
      <w:tr w:rsidR="00F54322" w:rsidRPr="00BB36A5" w14:paraId="1D648E8B" w14:textId="77777777" w:rsidTr="001B50CE">
        <w:tc>
          <w:tcPr>
            <w:tcW w:w="1795" w:type="dxa"/>
            <w:tcBorders>
              <w:top w:val="single" w:sz="4" w:space="0" w:color="auto"/>
            </w:tcBorders>
          </w:tcPr>
          <w:p w14:paraId="6287A18F" w14:textId="77777777" w:rsidR="00F54322" w:rsidRPr="00BB36A5" w:rsidRDefault="00F54322" w:rsidP="001B50CE">
            <w:pPr>
              <w:pStyle w:val="Default"/>
              <w:spacing w:after="9"/>
              <w:jc w:val="both"/>
              <w:rPr>
                <w:rFonts w:asciiTheme="majorHAnsi" w:hAnsiTheme="majorHAnsi" w:cstheme="majorHAnsi"/>
                <w:color w:val="FF0000"/>
                <w:lang w:val="es-PR"/>
              </w:rPr>
            </w:pPr>
          </w:p>
        </w:tc>
        <w:tc>
          <w:tcPr>
            <w:tcW w:w="4918" w:type="dxa"/>
            <w:tcBorders>
              <w:top w:val="single" w:sz="4" w:space="0" w:color="auto"/>
            </w:tcBorders>
          </w:tcPr>
          <w:p w14:paraId="084DCC49" w14:textId="77777777" w:rsidR="00F54322" w:rsidRPr="00BB36A5" w:rsidRDefault="00F54322" w:rsidP="001B50CE">
            <w:pPr>
              <w:pStyle w:val="Default"/>
              <w:spacing w:after="9"/>
              <w:jc w:val="both"/>
              <w:rPr>
                <w:rFonts w:asciiTheme="majorHAnsi" w:hAnsiTheme="majorHAnsi" w:cstheme="majorHAnsi"/>
                <w:color w:val="FF0000"/>
                <w:lang w:val="es-PR"/>
              </w:rPr>
            </w:pPr>
          </w:p>
        </w:tc>
        <w:tc>
          <w:tcPr>
            <w:tcW w:w="3357" w:type="dxa"/>
            <w:tcBorders>
              <w:top w:val="single" w:sz="4" w:space="0" w:color="auto"/>
            </w:tcBorders>
          </w:tcPr>
          <w:p w14:paraId="2BA2BE20" w14:textId="77777777" w:rsidR="00F54322" w:rsidRPr="00BB36A5" w:rsidRDefault="00F54322" w:rsidP="001B50CE">
            <w:pPr>
              <w:pStyle w:val="Default"/>
              <w:spacing w:after="9"/>
              <w:jc w:val="both"/>
              <w:rPr>
                <w:rFonts w:asciiTheme="majorHAnsi" w:hAnsiTheme="majorHAnsi" w:cstheme="majorHAnsi"/>
                <w:color w:val="FF0000"/>
                <w:lang w:val="es-PR"/>
              </w:rPr>
            </w:pPr>
          </w:p>
        </w:tc>
      </w:tr>
    </w:tbl>
    <w:p w14:paraId="07D7B059" w14:textId="09036C10" w:rsidR="006841C1" w:rsidRPr="00BB36A5" w:rsidRDefault="006841C1" w:rsidP="006841C1">
      <w:pPr>
        <w:pStyle w:val="Heading2"/>
        <w:rPr>
          <w:rFonts w:cstheme="majorHAnsi"/>
          <w:sz w:val="24"/>
          <w:szCs w:val="24"/>
          <w:lang w:val="es-PR"/>
        </w:rPr>
      </w:pPr>
      <w:r w:rsidRPr="00BB36A5">
        <w:rPr>
          <w:rFonts w:cstheme="majorHAnsi"/>
          <w:sz w:val="24"/>
          <w:szCs w:val="24"/>
          <w:lang w:val="es-PR"/>
        </w:rPr>
        <w:t>EVALUACION DE RIESGOS</w:t>
      </w:r>
    </w:p>
    <w:p w14:paraId="1BA66CDA" w14:textId="77777777" w:rsidR="003A584E" w:rsidRPr="00BB36A5" w:rsidRDefault="00EA1F7F" w:rsidP="005B5C47">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Este componente implica evaluar los riesgos involucrados en nuestra organización en relación con la operación de programas de subvenciones federales, informes financieros y cumplimiento de programas federales.  </w:t>
      </w:r>
    </w:p>
    <w:p w14:paraId="61BC9EF6" w14:textId="77777777" w:rsidR="003A584E" w:rsidRPr="00BB36A5" w:rsidRDefault="003A584E" w:rsidP="005B5C47">
      <w:pPr>
        <w:pStyle w:val="Default"/>
        <w:spacing w:after="9"/>
        <w:jc w:val="both"/>
        <w:rPr>
          <w:rFonts w:asciiTheme="majorHAnsi" w:hAnsiTheme="majorHAnsi" w:cstheme="majorHAnsi"/>
          <w:color w:val="auto"/>
          <w:lang w:val="es-PR"/>
        </w:rPr>
      </w:pPr>
    </w:p>
    <w:p w14:paraId="23E567A8" w14:textId="77777777" w:rsidR="003A584E" w:rsidRPr="00BB36A5" w:rsidRDefault="003A584E" w:rsidP="003A584E">
      <w:pPr>
        <w:pStyle w:val="Default"/>
        <w:jc w:val="both"/>
        <w:rPr>
          <w:rFonts w:asciiTheme="majorHAnsi" w:hAnsiTheme="majorHAnsi" w:cstheme="majorHAnsi"/>
          <w:lang w:val="es-PR"/>
        </w:rPr>
      </w:pPr>
      <w:r w:rsidRPr="00BB36A5">
        <w:rPr>
          <w:rFonts w:asciiTheme="majorHAnsi" w:hAnsiTheme="majorHAnsi" w:cstheme="majorHAnsi"/>
          <w:lang w:val="es-PR"/>
        </w:rPr>
        <w:t xml:space="preserve">Las iniciativas y escuelas que reciben cantidades significativas de fondos han sido o serán preliminarmente evaluadas para determinar el nivel de monitoreo que se debe realizar con el fin de observar si hay </w:t>
      </w:r>
      <w:r w:rsidRPr="00BB36A5">
        <w:rPr>
          <w:rFonts w:asciiTheme="majorHAnsi" w:hAnsiTheme="majorHAnsi" w:cstheme="majorHAnsi"/>
          <w:lang w:val="es-PR"/>
        </w:rPr>
        <w:lastRenderedPageBreak/>
        <w:t>responsabilidad en la administración, gasto y manejo de los fondos de la subvención del USDE de acuerdo con las leyes, regulaciones y guías federales aplicables.</w:t>
      </w:r>
    </w:p>
    <w:p w14:paraId="3DAD44AF" w14:textId="77777777" w:rsidR="003A584E" w:rsidRPr="00BB36A5" w:rsidRDefault="003A584E" w:rsidP="005B5C47">
      <w:pPr>
        <w:pStyle w:val="Default"/>
        <w:spacing w:after="9"/>
        <w:jc w:val="both"/>
        <w:rPr>
          <w:rFonts w:asciiTheme="majorHAnsi" w:hAnsiTheme="majorHAnsi" w:cstheme="majorHAnsi"/>
          <w:color w:val="auto"/>
          <w:lang w:val="es-PR"/>
        </w:rPr>
      </w:pPr>
    </w:p>
    <w:p w14:paraId="59BCAE46" w14:textId="1C2CCA3B" w:rsidR="007239BB" w:rsidRPr="00BB36A5" w:rsidRDefault="007239BB" w:rsidP="007239BB">
      <w:pPr>
        <w:pStyle w:val="Default"/>
        <w:jc w:val="both"/>
        <w:rPr>
          <w:rFonts w:asciiTheme="majorHAnsi" w:hAnsiTheme="majorHAnsi" w:cstheme="majorHAnsi"/>
          <w:lang w:val="es-PR"/>
        </w:rPr>
      </w:pPr>
      <w:r w:rsidRPr="00BB36A5">
        <w:rPr>
          <w:rFonts w:asciiTheme="majorHAnsi" w:hAnsiTheme="majorHAnsi" w:cstheme="majorHAnsi"/>
          <w:lang w:val="es-PR"/>
        </w:rPr>
        <w:t>Antes de la implementación de la iniciativa y actividades fiscales, estas deben obtener la aprobación del DEPR para continuar con los procesos.</w:t>
      </w:r>
      <w:r w:rsidR="00342581" w:rsidRPr="00BB36A5">
        <w:rPr>
          <w:rFonts w:asciiTheme="majorHAnsi" w:hAnsiTheme="majorHAnsi" w:cstheme="majorHAnsi"/>
          <w:lang w:val="es-PR"/>
        </w:rPr>
        <w:t xml:space="preserve">  En el caso de las iniciativas, el DEPR sometió un plan estatal de gastos para revisión del USDE </w:t>
      </w:r>
      <w:r w:rsidR="004475B3" w:rsidRPr="00BB36A5">
        <w:rPr>
          <w:rFonts w:asciiTheme="majorHAnsi" w:hAnsiTheme="majorHAnsi" w:cstheme="majorHAnsi"/>
          <w:lang w:val="es-PR"/>
        </w:rPr>
        <w:t xml:space="preserve">sobre </w:t>
      </w:r>
      <w:r w:rsidR="00342581" w:rsidRPr="00BB36A5">
        <w:rPr>
          <w:rFonts w:asciiTheme="majorHAnsi" w:hAnsiTheme="majorHAnsi" w:cstheme="majorHAnsi"/>
          <w:lang w:val="es-PR"/>
        </w:rPr>
        <w:t>las iniciativas que el DEPR planifica</w:t>
      </w:r>
      <w:r w:rsidR="004475B3" w:rsidRPr="00BB36A5">
        <w:rPr>
          <w:rFonts w:asciiTheme="majorHAnsi" w:hAnsiTheme="majorHAnsi" w:cstheme="majorHAnsi"/>
          <w:lang w:val="es-PR"/>
        </w:rPr>
        <w:t>ba</w:t>
      </w:r>
      <w:r w:rsidR="00342581" w:rsidRPr="00BB36A5">
        <w:rPr>
          <w:rFonts w:asciiTheme="majorHAnsi" w:hAnsiTheme="majorHAnsi" w:cstheme="majorHAnsi"/>
          <w:lang w:val="es-PR"/>
        </w:rPr>
        <w:t xml:space="preserve"> implementar.  </w:t>
      </w:r>
      <w:r w:rsidRPr="00BB36A5">
        <w:rPr>
          <w:rFonts w:asciiTheme="majorHAnsi" w:hAnsiTheme="majorHAnsi" w:cstheme="majorHAnsi"/>
          <w:lang w:val="es-PR"/>
        </w:rPr>
        <w:t xml:space="preserve">El DEPR, con el apoyo de sus contratistas actuarán como monitores. Los monitores harán referencia al </w:t>
      </w:r>
      <w:proofErr w:type="spellStart"/>
      <w:r w:rsidRPr="00BB36A5">
        <w:rPr>
          <w:rFonts w:asciiTheme="majorHAnsi" w:hAnsiTheme="majorHAnsi" w:cstheme="majorHAnsi"/>
          <w:i/>
          <w:iCs/>
          <w:lang w:val="es-PR"/>
        </w:rPr>
        <w:t>Restart</w:t>
      </w:r>
      <w:proofErr w:type="spellEnd"/>
      <w:r w:rsidR="00436531" w:rsidRPr="00BB36A5">
        <w:rPr>
          <w:rFonts w:asciiTheme="majorHAnsi" w:hAnsiTheme="majorHAnsi" w:cstheme="majorHAnsi"/>
          <w:i/>
          <w:iCs/>
          <w:lang w:val="es-PR"/>
        </w:rPr>
        <w:t xml:space="preserve"> </w:t>
      </w:r>
      <w:proofErr w:type="spellStart"/>
      <w:r w:rsidR="00436531" w:rsidRPr="00BB36A5">
        <w:rPr>
          <w:rFonts w:asciiTheme="majorHAnsi" w:hAnsiTheme="majorHAnsi" w:cstheme="majorHAnsi"/>
          <w:i/>
          <w:iCs/>
          <w:lang w:val="es-PR"/>
        </w:rPr>
        <w:t>Funding</w:t>
      </w:r>
      <w:proofErr w:type="spellEnd"/>
      <w:r w:rsidR="00436531" w:rsidRPr="00BB36A5">
        <w:rPr>
          <w:rFonts w:asciiTheme="majorHAnsi" w:hAnsiTheme="majorHAnsi" w:cstheme="majorHAnsi"/>
          <w:i/>
          <w:iCs/>
          <w:lang w:val="es-PR"/>
        </w:rPr>
        <w:t xml:space="preserve"> </w:t>
      </w:r>
      <w:r w:rsidR="008B5068" w:rsidRPr="00BB36A5">
        <w:rPr>
          <w:rFonts w:asciiTheme="majorHAnsi" w:hAnsiTheme="majorHAnsi" w:cstheme="majorHAnsi"/>
          <w:i/>
          <w:iCs/>
          <w:lang w:val="es-PR"/>
        </w:rPr>
        <w:t xml:space="preserve">Plan </w:t>
      </w:r>
      <w:r w:rsidR="008B5068" w:rsidRPr="00BB36A5">
        <w:rPr>
          <w:rFonts w:asciiTheme="majorHAnsi" w:hAnsiTheme="majorHAnsi" w:cstheme="majorHAnsi"/>
          <w:lang w:val="es-PR"/>
        </w:rPr>
        <w:t>aprobado</w:t>
      </w:r>
      <w:r w:rsidRPr="00BB36A5">
        <w:rPr>
          <w:rFonts w:asciiTheme="majorHAnsi" w:hAnsiTheme="majorHAnsi" w:cstheme="majorHAnsi"/>
          <w:lang w:val="es-PR"/>
        </w:rPr>
        <w:t xml:space="preserve"> por el USDE</w:t>
      </w:r>
      <w:r w:rsidR="00436531" w:rsidRPr="00BB36A5">
        <w:rPr>
          <w:rFonts w:asciiTheme="majorHAnsi" w:hAnsiTheme="majorHAnsi" w:cstheme="majorHAnsi"/>
          <w:lang w:val="es-PR"/>
        </w:rPr>
        <w:t>,</w:t>
      </w:r>
      <w:r w:rsidRPr="00BB36A5">
        <w:rPr>
          <w:rFonts w:asciiTheme="majorHAnsi" w:hAnsiTheme="majorHAnsi" w:cstheme="majorHAnsi"/>
          <w:lang w:val="es-PR"/>
        </w:rPr>
        <w:t xml:space="preserve"> el cual sirve de guía para la implementación de la iniciativa. Del mismo modo, los monitores harán referencia a los memorandos de justificación aprobados por el DEPR en adición a los planes de trabajo y documentación relevante. Además, el programa cuenta con una Guía Fiscal que provee paso por paso los diferentes procesos de compras aplicables basados por el tipo de servicios/compras necesarias y los limites estimados.  </w:t>
      </w:r>
    </w:p>
    <w:p w14:paraId="5936C0FD" w14:textId="77777777" w:rsidR="003A584E" w:rsidRPr="00BB36A5" w:rsidRDefault="003A584E" w:rsidP="005B5C47">
      <w:pPr>
        <w:pStyle w:val="Default"/>
        <w:spacing w:after="9"/>
        <w:jc w:val="both"/>
        <w:rPr>
          <w:rFonts w:asciiTheme="majorHAnsi" w:hAnsiTheme="majorHAnsi" w:cstheme="majorHAnsi"/>
          <w:color w:val="auto"/>
          <w:lang w:val="es-PR"/>
        </w:rPr>
      </w:pPr>
    </w:p>
    <w:p w14:paraId="5E6554E2" w14:textId="51F4A821" w:rsidR="00EA1F7F" w:rsidRPr="00BB36A5" w:rsidRDefault="00C91774" w:rsidP="00C91774">
      <w:pPr>
        <w:pStyle w:val="Default"/>
        <w:jc w:val="both"/>
        <w:rPr>
          <w:rFonts w:asciiTheme="majorHAnsi" w:hAnsiTheme="majorHAnsi" w:cstheme="majorHAnsi"/>
          <w:lang w:val="es-PR"/>
        </w:rPr>
      </w:pPr>
      <w:r w:rsidRPr="00BB36A5">
        <w:rPr>
          <w:rFonts w:asciiTheme="majorHAnsi" w:hAnsiTheme="majorHAnsi" w:cstheme="majorHAnsi"/>
          <w:lang w:val="es-PR"/>
        </w:rPr>
        <w:t xml:space="preserve">La documentación de referencia debe estar alineada con el </w:t>
      </w:r>
      <w:proofErr w:type="spellStart"/>
      <w:r w:rsidR="00436531" w:rsidRPr="00BB36A5">
        <w:rPr>
          <w:rFonts w:asciiTheme="majorHAnsi" w:hAnsiTheme="majorHAnsi" w:cstheme="majorHAnsi"/>
          <w:i/>
          <w:iCs/>
          <w:lang w:val="es-PR"/>
        </w:rPr>
        <w:t>Restart</w:t>
      </w:r>
      <w:proofErr w:type="spellEnd"/>
      <w:r w:rsidR="00436531" w:rsidRPr="00BB36A5">
        <w:rPr>
          <w:rFonts w:asciiTheme="majorHAnsi" w:hAnsiTheme="majorHAnsi" w:cstheme="majorHAnsi"/>
          <w:i/>
          <w:iCs/>
          <w:lang w:val="es-PR"/>
        </w:rPr>
        <w:t xml:space="preserve"> </w:t>
      </w:r>
      <w:proofErr w:type="spellStart"/>
      <w:r w:rsidR="00436531" w:rsidRPr="00BB36A5">
        <w:rPr>
          <w:rFonts w:asciiTheme="majorHAnsi" w:hAnsiTheme="majorHAnsi" w:cstheme="majorHAnsi"/>
          <w:i/>
          <w:iCs/>
          <w:lang w:val="es-PR"/>
        </w:rPr>
        <w:t>Funding</w:t>
      </w:r>
      <w:proofErr w:type="spellEnd"/>
      <w:r w:rsidR="00436531" w:rsidRPr="00BB36A5">
        <w:rPr>
          <w:rFonts w:asciiTheme="majorHAnsi" w:hAnsiTheme="majorHAnsi" w:cstheme="majorHAnsi"/>
          <w:i/>
          <w:iCs/>
          <w:lang w:val="es-PR"/>
        </w:rPr>
        <w:t xml:space="preserve"> </w:t>
      </w:r>
      <w:proofErr w:type="gramStart"/>
      <w:r w:rsidR="00436531" w:rsidRPr="00BB36A5">
        <w:rPr>
          <w:rFonts w:asciiTheme="majorHAnsi" w:hAnsiTheme="majorHAnsi" w:cstheme="majorHAnsi"/>
          <w:i/>
          <w:iCs/>
          <w:lang w:val="es-PR"/>
        </w:rPr>
        <w:t xml:space="preserve">Plan </w:t>
      </w:r>
      <w:r w:rsidR="00436531" w:rsidRPr="00BB36A5">
        <w:rPr>
          <w:rFonts w:asciiTheme="majorHAnsi" w:hAnsiTheme="majorHAnsi" w:cstheme="majorHAnsi"/>
          <w:lang w:val="es-PR"/>
        </w:rPr>
        <w:t xml:space="preserve"> </w:t>
      </w:r>
      <w:r w:rsidRPr="00BB36A5">
        <w:rPr>
          <w:rFonts w:asciiTheme="majorHAnsi" w:hAnsiTheme="majorHAnsi" w:cstheme="majorHAnsi"/>
          <w:lang w:val="es-PR"/>
        </w:rPr>
        <w:t>aprobado</w:t>
      </w:r>
      <w:proofErr w:type="gramEnd"/>
      <w:r w:rsidRPr="00BB36A5">
        <w:rPr>
          <w:rFonts w:asciiTheme="majorHAnsi" w:hAnsiTheme="majorHAnsi" w:cstheme="majorHAnsi"/>
          <w:lang w:val="es-PR"/>
        </w:rPr>
        <w:t xml:space="preserve"> por el USDE y debe presentarse a la Secretaria Auxiliar </w:t>
      </w:r>
      <w:r w:rsidR="00436531" w:rsidRPr="00BB36A5">
        <w:rPr>
          <w:rFonts w:asciiTheme="majorHAnsi" w:hAnsiTheme="majorHAnsi" w:cstheme="majorHAnsi"/>
          <w:lang w:val="es-PR"/>
        </w:rPr>
        <w:t xml:space="preserve">de </w:t>
      </w:r>
      <w:r w:rsidRPr="00BB36A5">
        <w:rPr>
          <w:rFonts w:asciiTheme="majorHAnsi" w:hAnsiTheme="majorHAnsi" w:cstheme="majorHAnsi"/>
          <w:lang w:val="es-PR"/>
        </w:rPr>
        <w:t>Asuntos Federales (SAAF) del DEPR para su aprobación antes de implementarse el proyecto. El riesgo viene en todas sus formas, pero se presentan a continuación algunas categorías generales de riesgo de las cuales somos conscientes.</w:t>
      </w:r>
    </w:p>
    <w:p w14:paraId="053482EF" w14:textId="77777777" w:rsidR="00626C1E" w:rsidRPr="00BB36A5" w:rsidRDefault="00626C1E" w:rsidP="00EA1F7F">
      <w:pPr>
        <w:pStyle w:val="Default"/>
        <w:spacing w:after="9"/>
        <w:jc w:val="both"/>
        <w:rPr>
          <w:rFonts w:asciiTheme="majorHAnsi" w:hAnsiTheme="majorHAnsi" w:cstheme="majorHAnsi"/>
          <w:color w:val="auto"/>
          <w:lang w:val="es-PR"/>
        </w:rPr>
      </w:pPr>
    </w:p>
    <w:p w14:paraId="2767DE33" w14:textId="6CC0C56B" w:rsidR="00EA1F7F" w:rsidRPr="00BB36A5" w:rsidRDefault="00493F31" w:rsidP="00EA1F7F">
      <w:pPr>
        <w:pStyle w:val="Default"/>
        <w:numPr>
          <w:ilvl w:val="0"/>
          <w:numId w:val="6"/>
        </w:numPr>
        <w:spacing w:after="9"/>
        <w:ind w:left="360"/>
        <w:jc w:val="both"/>
        <w:rPr>
          <w:rFonts w:asciiTheme="majorHAnsi" w:hAnsiTheme="majorHAnsi" w:cstheme="majorHAnsi"/>
          <w:color w:val="auto"/>
          <w:lang w:val="es-PR"/>
        </w:rPr>
      </w:pPr>
      <w:r w:rsidRPr="00BB36A5">
        <w:rPr>
          <w:rFonts w:asciiTheme="majorHAnsi" w:hAnsiTheme="majorHAnsi" w:cstheme="majorHAnsi"/>
          <w:b/>
          <w:bCs/>
          <w:color w:val="auto"/>
          <w:lang w:val="es-PR"/>
        </w:rPr>
        <w:t xml:space="preserve">Riesgos </w:t>
      </w:r>
      <w:r w:rsidR="00EA1F7F" w:rsidRPr="00BB36A5">
        <w:rPr>
          <w:rFonts w:asciiTheme="majorHAnsi" w:hAnsiTheme="majorHAnsi" w:cstheme="majorHAnsi"/>
          <w:b/>
          <w:bCs/>
          <w:color w:val="auto"/>
          <w:lang w:val="es-PR"/>
        </w:rPr>
        <w:t>Programáticos</w:t>
      </w:r>
      <w:r w:rsidR="00EA1F7F" w:rsidRPr="00BB36A5">
        <w:rPr>
          <w:rFonts w:asciiTheme="majorHAnsi" w:hAnsiTheme="majorHAnsi" w:cstheme="majorHAnsi"/>
          <w:color w:val="auto"/>
          <w:lang w:val="es-PR"/>
        </w:rPr>
        <w:t xml:space="preserve"> incluye la falta de alcanzar los objetivos del programa; seguir leyes, reglamentos o políticas y procedimientos de la organización; supervisar adecuadamente los programas de la organización; proporcionar información confiable para la toma de decisiones; prevenir violaciones de las normas de seguridad; y evitar el mal manejo de información sensible o clasificada.</w:t>
      </w:r>
    </w:p>
    <w:p w14:paraId="29849B32" w14:textId="6D5508E3" w:rsidR="00D35AEE" w:rsidRPr="00BB36A5" w:rsidRDefault="00493F31" w:rsidP="007D4DF5">
      <w:pPr>
        <w:pStyle w:val="Default"/>
        <w:numPr>
          <w:ilvl w:val="0"/>
          <w:numId w:val="6"/>
        </w:numPr>
        <w:spacing w:after="9"/>
        <w:ind w:left="360"/>
        <w:jc w:val="both"/>
        <w:rPr>
          <w:rFonts w:asciiTheme="majorHAnsi" w:hAnsiTheme="majorHAnsi" w:cstheme="majorHAnsi"/>
          <w:color w:val="auto"/>
          <w:lang w:val="es-PR"/>
        </w:rPr>
      </w:pPr>
      <w:r w:rsidRPr="00BB36A5">
        <w:rPr>
          <w:rFonts w:asciiTheme="majorHAnsi" w:hAnsiTheme="majorHAnsi" w:cstheme="majorHAnsi"/>
          <w:b/>
          <w:bCs/>
          <w:color w:val="auto"/>
          <w:lang w:val="es-PR"/>
        </w:rPr>
        <w:t>Riesgos de Personal</w:t>
      </w:r>
      <w:r w:rsidR="00F54322" w:rsidRPr="00BB36A5">
        <w:rPr>
          <w:rFonts w:asciiTheme="majorHAnsi" w:hAnsiTheme="majorHAnsi" w:cstheme="majorHAnsi"/>
          <w:color w:val="auto"/>
          <w:lang w:val="es-PR"/>
        </w:rPr>
        <w:t xml:space="preserve"> </w:t>
      </w:r>
      <w:r w:rsidR="00EA1F7F" w:rsidRPr="00BB36A5">
        <w:rPr>
          <w:rFonts w:asciiTheme="majorHAnsi" w:hAnsiTheme="majorHAnsi" w:cstheme="majorHAnsi"/>
          <w:color w:val="auto"/>
          <w:lang w:val="es-PR"/>
        </w:rPr>
        <w:t>inclu</w:t>
      </w:r>
      <w:r w:rsidR="007D4DF5" w:rsidRPr="00BB36A5">
        <w:rPr>
          <w:rFonts w:asciiTheme="majorHAnsi" w:hAnsiTheme="majorHAnsi" w:cstheme="majorHAnsi"/>
          <w:color w:val="auto"/>
          <w:lang w:val="es-PR"/>
        </w:rPr>
        <w:t>ye</w:t>
      </w:r>
      <w:r w:rsidR="00EA1F7F" w:rsidRPr="00BB36A5">
        <w:rPr>
          <w:rFonts w:asciiTheme="majorHAnsi" w:hAnsiTheme="majorHAnsi" w:cstheme="majorHAnsi"/>
          <w:color w:val="auto"/>
          <w:lang w:val="es-PR"/>
        </w:rPr>
        <w:t xml:space="preserve"> la falta de </w:t>
      </w:r>
      <w:r w:rsidR="007D4DF5" w:rsidRPr="00BB36A5">
        <w:rPr>
          <w:rFonts w:asciiTheme="majorHAnsi" w:hAnsiTheme="majorHAnsi" w:cstheme="majorHAnsi"/>
          <w:color w:val="auto"/>
          <w:lang w:val="es-PR"/>
        </w:rPr>
        <w:t xml:space="preserve">ocupar los </w:t>
      </w:r>
      <w:r w:rsidR="00EA1F7F" w:rsidRPr="00BB36A5">
        <w:rPr>
          <w:rFonts w:asciiTheme="majorHAnsi" w:hAnsiTheme="majorHAnsi" w:cstheme="majorHAnsi"/>
          <w:color w:val="auto"/>
          <w:lang w:val="es-PR"/>
        </w:rPr>
        <w:t xml:space="preserve">puestos de personal con empleados con la experiencia adecuada; reclutar efectivamente </w:t>
      </w:r>
      <w:r w:rsidR="007D4DF5" w:rsidRPr="00BB36A5">
        <w:rPr>
          <w:rFonts w:asciiTheme="majorHAnsi" w:hAnsiTheme="majorHAnsi" w:cstheme="majorHAnsi"/>
          <w:color w:val="auto"/>
          <w:lang w:val="es-PR"/>
        </w:rPr>
        <w:t xml:space="preserve">los </w:t>
      </w:r>
      <w:r w:rsidR="00EA1F7F" w:rsidRPr="00BB36A5">
        <w:rPr>
          <w:rFonts w:asciiTheme="majorHAnsi" w:hAnsiTheme="majorHAnsi" w:cstheme="majorHAnsi"/>
          <w:color w:val="auto"/>
          <w:lang w:val="es-PR"/>
        </w:rPr>
        <w:t xml:space="preserve">empleados; y satisfacer </w:t>
      </w:r>
      <w:r w:rsidR="007D4DF5" w:rsidRPr="00BB36A5">
        <w:rPr>
          <w:rFonts w:asciiTheme="majorHAnsi" w:hAnsiTheme="majorHAnsi" w:cstheme="majorHAnsi"/>
          <w:color w:val="auto"/>
          <w:lang w:val="es-PR"/>
        </w:rPr>
        <w:t>el adiestramiento y capacitación</w:t>
      </w:r>
      <w:r w:rsidR="00EA1F7F" w:rsidRPr="00BB36A5">
        <w:rPr>
          <w:rFonts w:asciiTheme="majorHAnsi" w:hAnsiTheme="majorHAnsi" w:cstheme="majorHAnsi"/>
          <w:color w:val="auto"/>
          <w:lang w:val="es-PR"/>
        </w:rPr>
        <w:t xml:space="preserve"> requeridas.</w:t>
      </w:r>
    </w:p>
    <w:p w14:paraId="5F42849C" w14:textId="729245D1" w:rsidR="00F54322" w:rsidRPr="00BB36A5" w:rsidRDefault="00493F31" w:rsidP="00342E9E">
      <w:pPr>
        <w:pStyle w:val="Default"/>
        <w:numPr>
          <w:ilvl w:val="0"/>
          <w:numId w:val="6"/>
        </w:numPr>
        <w:spacing w:after="9"/>
        <w:ind w:left="360"/>
        <w:jc w:val="both"/>
        <w:rPr>
          <w:rFonts w:asciiTheme="majorHAnsi" w:hAnsiTheme="majorHAnsi" w:cstheme="majorHAnsi"/>
          <w:color w:val="auto"/>
          <w:lang w:val="es-PR"/>
        </w:rPr>
      </w:pPr>
      <w:r w:rsidRPr="00BB36A5">
        <w:rPr>
          <w:rFonts w:asciiTheme="majorHAnsi" w:hAnsiTheme="majorHAnsi" w:cstheme="majorHAnsi"/>
          <w:b/>
          <w:bCs/>
          <w:color w:val="auto"/>
          <w:lang w:val="es-PR"/>
        </w:rPr>
        <w:t xml:space="preserve">Riesgos </w:t>
      </w:r>
      <w:r w:rsidR="007D4DF5" w:rsidRPr="00BB36A5">
        <w:rPr>
          <w:rFonts w:asciiTheme="majorHAnsi" w:hAnsiTheme="majorHAnsi" w:cstheme="majorHAnsi"/>
          <w:b/>
          <w:bCs/>
          <w:color w:val="auto"/>
          <w:lang w:val="es-PR"/>
        </w:rPr>
        <w:t>Financieros</w:t>
      </w:r>
      <w:r w:rsidR="00F54322" w:rsidRPr="00BB36A5">
        <w:rPr>
          <w:rFonts w:asciiTheme="majorHAnsi" w:hAnsiTheme="majorHAnsi" w:cstheme="majorHAnsi"/>
          <w:color w:val="auto"/>
          <w:lang w:val="es-PR"/>
        </w:rPr>
        <w:t xml:space="preserve"> </w:t>
      </w:r>
      <w:r w:rsidR="007D4DF5" w:rsidRPr="00BB36A5">
        <w:rPr>
          <w:rFonts w:asciiTheme="majorHAnsi" w:hAnsiTheme="majorHAnsi" w:cstheme="majorHAnsi"/>
          <w:color w:val="auto"/>
          <w:lang w:val="es-PR"/>
        </w:rPr>
        <w:t>incluye la incapacidad para prevenir la fijación de precios, el fraude, los sobornos y otras formas de corrupción, como sobornos de consultores, contratistas y empleados. El DEPR evitará pagos indebidos, como sobrepago, pagos duplicados, pagos por servicios no recibidos y pagos a destinatarios no elegibles. La concientización sobre los riesgos financieros también incluye la prevención o la minimización de los residuos, así como el manejo eficaz de los proyectos y de los recursos.</w:t>
      </w:r>
    </w:p>
    <w:p w14:paraId="15E63E66" w14:textId="77777777" w:rsidR="00F54322" w:rsidRPr="00BB36A5" w:rsidRDefault="00F54322" w:rsidP="00F54322">
      <w:pPr>
        <w:pStyle w:val="Default"/>
        <w:spacing w:after="9"/>
        <w:jc w:val="both"/>
        <w:rPr>
          <w:rFonts w:asciiTheme="majorHAnsi" w:hAnsiTheme="majorHAnsi" w:cstheme="majorHAnsi"/>
          <w:color w:val="auto"/>
          <w:lang w:val="es-PR"/>
        </w:rPr>
      </w:pPr>
    </w:p>
    <w:p w14:paraId="3CF48DD8" w14:textId="6CBD8112" w:rsidR="00F54322" w:rsidRPr="00BB36A5" w:rsidRDefault="00D9458E" w:rsidP="00F5432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Estas actividades desarrollan las respuestas adecuadas a los riesgos identificados. Es fundamental desarrollar políticas y prácticas de evaluación de riesgos porque </w:t>
      </w:r>
      <w:r w:rsidR="002A3899" w:rsidRPr="00BB36A5">
        <w:rPr>
          <w:rFonts w:asciiTheme="majorHAnsi" w:hAnsiTheme="majorHAnsi" w:cstheme="majorHAnsi"/>
          <w:color w:val="auto"/>
          <w:lang w:val="es-PR"/>
        </w:rPr>
        <w:t>pueden ocurrir</w:t>
      </w:r>
      <w:r w:rsidRPr="00BB36A5">
        <w:rPr>
          <w:rFonts w:asciiTheme="majorHAnsi" w:hAnsiTheme="majorHAnsi" w:cstheme="majorHAnsi"/>
          <w:color w:val="auto"/>
          <w:lang w:val="es-PR"/>
        </w:rPr>
        <w:t xml:space="preserve"> casos de incumplimiento.  Las consideraciones de riesgo del DEPR para los fondos </w:t>
      </w:r>
      <w:r w:rsidRPr="00BB36A5">
        <w:rPr>
          <w:rFonts w:asciiTheme="majorHAnsi" w:hAnsiTheme="majorHAnsi" w:cstheme="majorHAnsi"/>
          <w:i/>
          <w:iCs/>
          <w:color w:val="auto"/>
          <w:lang w:val="es-PR"/>
        </w:rPr>
        <w:t>RESTART</w:t>
      </w:r>
      <w:r w:rsidRPr="00BB36A5">
        <w:rPr>
          <w:rFonts w:asciiTheme="majorHAnsi" w:hAnsiTheme="majorHAnsi" w:cstheme="majorHAnsi"/>
          <w:color w:val="auto"/>
          <w:lang w:val="es-PR"/>
        </w:rPr>
        <w:t xml:space="preserve"> consideraron los siguientes elementos:</w:t>
      </w:r>
    </w:p>
    <w:p w14:paraId="0CF2798E" w14:textId="77777777" w:rsidR="00F54322" w:rsidRPr="00BB36A5" w:rsidRDefault="00F54322" w:rsidP="00F54322">
      <w:pPr>
        <w:pStyle w:val="Default"/>
        <w:spacing w:after="9"/>
        <w:jc w:val="both"/>
        <w:rPr>
          <w:rFonts w:asciiTheme="majorHAnsi" w:hAnsiTheme="majorHAnsi" w:cstheme="majorHAnsi"/>
          <w:color w:val="auto"/>
          <w:lang w:val="es-PR"/>
        </w:rPr>
      </w:pPr>
    </w:p>
    <w:p w14:paraId="4D2DE725" w14:textId="279A3B1A" w:rsidR="00F54322" w:rsidRPr="00BB36A5" w:rsidRDefault="00F54322"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Histor</w:t>
      </w:r>
      <w:r w:rsidR="002A3899" w:rsidRPr="00BB36A5">
        <w:rPr>
          <w:rFonts w:asciiTheme="majorHAnsi" w:hAnsiTheme="majorHAnsi" w:cstheme="majorHAnsi"/>
          <w:color w:val="auto"/>
          <w:lang w:val="es-PR"/>
        </w:rPr>
        <w:t>ial de problemas de auditoria</w:t>
      </w:r>
      <w:r w:rsidR="005432FD" w:rsidRPr="00BB36A5">
        <w:rPr>
          <w:rFonts w:asciiTheme="majorHAnsi" w:hAnsiTheme="majorHAnsi" w:cstheme="majorHAnsi"/>
          <w:color w:val="auto"/>
          <w:lang w:val="es-PR"/>
        </w:rPr>
        <w:t xml:space="preserve"> (</w:t>
      </w:r>
      <w:r w:rsidR="005B5C47" w:rsidRPr="00BB36A5">
        <w:rPr>
          <w:rFonts w:asciiTheme="majorHAnsi" w:hAnsiTheme="majorHAnsi" w:cstheme="majorHAnsi"/>
          <w:i/>
          <w:iCs/>
          <w:color w:val="auto"/>
          <w:lang w:val="es-PR"/>
        </w:rPr>
        <w:t xml:space="preserve">OIG, </w:t>
      </w:r>
      <w:proofErr w:type="spellStart"/>
      <w:r w:rsidR="005B5C47" w:rsidRPr="00BB36A5">
        <w:rPr>
          <w:rFonts w:asciiTheme="majorHAnsi" w:hAnsiTheme="majorHAnsi" w:cstheme="majorHAnsi"/>
          <w:i/>
          <w:iCs/>
          <w:color w:val="auto"/>
          <w:lang w:val="es-PR"/>
        </w:rPr>
        <w:t>Internal</w:t>
      </w:r>
      <w:proofErr w:type="spellEnd"/>
      <w:r w:rsidR="005B5C47" w:rsidRPr="00BB36A5">
        <w:rPr>
          <w:rFonts w:asciiTheme="majorHAnsi" w:hAnsiTheme="majorHAnsi" w:cstheme="majorHAnsi"/>
          <w:i/>
          <w:iCs/>
          <w:color w:val="auto"/>
          <w:lang w:val="es-PR"/>
        </w:rPr>
        <w:t xml:space="preserve"> </w:t>
      </w:r>
      <w:proofErr w:type="spellStart"/>
      <w:r w:rsidR="005B5C47" w:rsidRPr="00BB36A5">
        <w:rPr>
          <w:rFonts w:asciiTheme="majorHAnsi" w:hAnsiTheme="majorHAnsi" w:cstheme="majorHAnsi"/>
          <w:i/>
          <w:iCs/>
          <w:color w:val="auto"/>
          <w:lang w:val="es-PR"/>
        </w:rPr>
        <w:t>audit</w:t>
      </w:r>
      <w:proofErr w:type="spellEnd"/>
      <w:r w:rsidR="005B5C47" w:rsidRPr="00BB36A5">
        <w:rPr>
          <w:rFonts w:asciiTheme="majorHAnsi" w:hAnsiTheme="majorHAnsi" w:cstheme="majorHAnsi"/>
          <w:i/>
          <w:iCs/>
          <w:color w:val="auto"/>
          <w:lang w:val="es-PR"/>
        </w:rPr>
        <w:t xml:space="preserve"> and </w:t>
      </w:r>
      <w:proofErr w:type="spellStart"/>
      <w:r w:rsidR="005B5C47" w:rsidRPr="00BB36A5">
        <w:rPr>
          <w:rFonts w:asciiTheme="majorHAnsi" w:hAnsiTheme="majorHAnsi" w:cstheme="majorHAnsi"/>
          <w:i/>
          <w:iCs/>
          <w:color w:val="auto"/>
          <w:lang w:val="es-PR"/>
        </w:rPr>
        <w:t>m</w:t>
      </w:r>
      <w:r w:rsidR="005432FD" w:rsidRPr="00BB36A5">
        <w:rPr>
          <w:rFonts w:asciiTheme="majorHAnsi" w:hAnsiTheme="majorHAnsi" w:cstheme="majorHAnsi"/>
          <w:i/>
          <w:iCs/>
          <w:color w:val="auto"/>
          <w:lang w:val="es-PR"/>
        </w:rPr>
        <w:t>onitoring</w:t>
      </w:r>
      <w:proofErr w:type="spellEnd"/>
      <w:r w:rsidR="005432FD" w:rsidRPr="00BB36A5">
        <w:rPr>
          <w:rFonts w:asciiTheme="majorHAnsi" w:hAnsiTheme="majorHAnsi" w:cstheme="majorHAnsi"/>
          <w:i/>
          <w:iCs/>
          <w:color w:val="auto"/>
          <w:lang w:val="es-PR"/>
        </w:rPr>
        <w:t xml:space="preserve"> </w:t>
      </w:r>
      <w:proofErr w:type="spellStart"/>
      <w:r w:rsidR="00126F8C" w:rsidRPr="00BB36A5">
        <w:rPr>
          <w:rFonts w:asciiTheme="majorHAnsi" w:hAnsiTheme="majorHAnsi" w:cstheme="majorHAnsi"/>
          <w:i/>
          <w:iCs/>
          <w:color w:val="auto"/>
          <w:lang w:val="es-PR"/>
        </w:rPr>
        <w:t>reports</w:t>
      </w:r>
      <w:proofErr w:type="spellEnd"/>
      <w:r w:rsidR="00126F8C" w:rsidRPr="00BB36A5">
        <w:rPr>
          <w:rFonts w:asciiTheme="majorHAnsi" w:hAnsiTheme="majorHAnsi" w:cstheme="majorHAnsi"/>
          <w:color w:val="auto"/>
          <w:lang w:val="es-PR"/>
        </w:rPr>
        <w:t>)</w:t>
      </w:r>
      <w:r w:rsidR="000B4C64" w:rsidRPr="00BB36A5">
        <w:rPr>
          <w:rFonts w:asciiTheme="majorHAnsi" w:hAnsiTheme="majorHAnsi" w:cstheme="majorHAnsi"/>
          <w:color w:val="auto"/>
          <w:lang w:val="es-PR"/>
        </w:rPr>
        <w:t xml:space="preserve"> y el cumplimiento </w:t>
      </w:r>
      <w:r w:rsidR="00CA52A0" w:rsidRPr="00BB36A5">
        <w:rPr>
          <w:rFonts w:asciiTheme="majorHAnsi" w:hAnsiTheme="majorHAnsi" w:cstheme="majorHAnsi"/>
          <w:color w:val="auto"/>
          <w:lang w:val="es-PR"/>
        </w:rPr>
        <w:t>estatal y federal de partes</w:t>
      </w:r>
      <w:r w:rsidR="000B4C64" w:rsidRPr="00BB36A5">
        <w:rPr>
          <w:rFonts w:asciiTheme="majorHAnsi" w:hAnsiTheme="majorHAnsi" w:cstheme="majorHAnsi"/>
          <w:color w:val="auto"/>
          <w:lang w:val="es-PR"/>
        </w:rPr>
        <w:t xml:space="preserve"> externas</w:t>
      </w:r>
      <w:r w:rsidR="00CA52A0" w:rsidRPr="00BB36A5">
        <w:rPr>
          <w:rFonts w:asciiTheme="majorHAnsi" w:hAnsiTheme="majorHAnsi" w:cstheme="majorHAnsi"/>
          <w:color w:val="auto"/>
          <w:lang w:val="es-PR"/>
        </w:rPr>
        <w:t xml:space="preserve"> (</w:t>
      </w:r>
      <w:r w:rsidR="00CA52A0" w:rsidRPr="00BB36A5">
        <w:rPr>
          <w:rFonts w:asciiTheme="majorHAnsi" w:hAnsiTheme="majorHAnsi" w:cstheme="majorHAnsi"/>
          <w:i/>
          <w:iCs/>
          <w:color w:val="auto"/>
          <w:lang w:val="es-PR"/>
        </w:rPr>
        <w:t xml:space="preserve">Single </w:t>
      </w:r>
      <w:proofErr w:type="spellStart"/>
      <w:r w:rsidR="00CA52A0" w:rsidRPr="00BB36A5">
        <w:rPr>
          <w:rFonts w:asciiTheme="majorHAnsi" w:hAnsiTheme="majorHAnsi" w:cstheme="majorHAnsi"/>
          <w:i/>
          <w:iCs/>
          <w:color w:val="auto"/>
          <w:lang w:val="es-PR"/>
        </w:rPr>
        <w:t>audits</w:t>
      </w:r>
      <w:proofErr w:type="spellEnd"/>
      <w:r w:rsidR="00CA52A0" w:rsidRPr="00BB36A5">
        <w:rPr>
          <w:rFonts w:asciiTheme="majorHAnsi" w:hAnsiTheme="majorHAnsi" w:cstheme="majorHAnsi"/>
          <w:color w:val="auto"/>
          <w:lang w:val="es-PR"/>
        </w:rPr>
        <w:t xml:space="preserve">, Reportes al </w:t>
      </w:r>
      <w:r w:rsidR="00CA52A0" w:rsidRPr="00BB36A5">
        <w:rPr>
          <w:rFonts w:asciiTheme="majorHAnsi" w:hAnsiTheme="majorHAnsi" w:cstheme="majorHAnsi"/>
          <w:i/>
          <w:iCs/>
          <w:color w:val="auto"/>
          <w:lang w:val="es-PR"/>
        </w:rPr>
        <w:t>OIG</w:t>
      </w:r>
      <w:r w:rsidR="00CA52A0" w:rsidRPr="00BB36A5">
        <w:rPr>
          <w:rFonts w:asciiTheme="majorHAnsi" w:hAnsiTheme="majorHAnsi" w:cstheme="majorHAnsi"/>
          <w:color w:val="auto"/>
          <w:lang w:val="es-PR"/>
        </w:rPr>
        <w:t>, reportes de monitoria)</w:t>
      </w:r>
    </w:p>
    <w:p w14:paraId="750956DF" w14:textId="331ED983" w:rsidR="00F54322" w:rsidRPr="00BB36A5" w:rsidRDefault="00F54322"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C</w:t>
      </w:r>
      <w:r w:rsidR="002A3899" w:rsidRPr="00BB36A5">
        <w:rPr>
          <w:rFonts w:asciiTheme="majorHAnsi" w:hAnsiTheme="majorHAnsi" w:cstheme="majorHAnsi"/>
          <w:color w:val="auto"/>
          <w:lang w:val="es-PR"/>
        </w:rPr>
        <w:t>ambios en</w:t>
      </w:r>
      <w:r w:rsidRPr="00BB36A5">
        <w:rPr>
          <w:rFonts w:asciiTheme="majorHAnsi" w:hAnsiTheme="majorHAnsi" w:cstheme="majorHAnsi"/>
          <w:color w:val="auto"/>
          <w:lang w:val="es-PR"/>
        </w:rPr>
        <w:t xml:space="preserve"> </w:t>
      </w:r>
      <w:r w:rsidR="002A3899" w:rsidRPr="00BB36A5">
        <w:rPr>
          <w:rFonts w:asciiTheme="majorHAnsi" w:hAnsiTheme="majorHAnsi" w:cstheme="majorHAnsi"/>
          <w:color w:val="auto"/>
          <w:lang w:val="es-PR"/>
        </w:rPr>
        <w:t>leyes</w:t>
      </w:r>
      <w:r w:rsidRPr="00BB36A5">
        <w:rPr>
          <w:rFonts w:asciiTheme="majorHAnsi" w:hAnsiTheme="majorHAnsi" w:cstheme="majorHAnsi"/>
          <w:color w:val="auto"/>
          <w:lang w:val="es-PR"/>
        </w:rPr>
        <w:t>/regula</w:t>
      </w:r>
      <w:r w:rsidR="002A3899" w:rsidRPr="00BB36A5">
        <w:rPr>
          <w:rFonts w:asciiTheme="majorHAnsi" w:hAnsiTheme="majorHAnsi" w:cstheme="majorHAnsi"/>
          <w:color w:val="auto"/>
          <w:lang w:val="es-PR"/>
        </w:rPr>
        <w:t>ciones</w:t>
      </w:r>
      <w:r w:rsidR="00126F8C" w:rsidRPr="00BB36A5">
        <w:rPr>
          <w:rFonts w:asciiTheme="majorHAnsi" w:hAnsiTheme="majorHAnsi" w:cstheme="majorHAnsi"/>
          <w:color w:val="auto"/>
          <w:lang w:val="es-PR"/>
        </w:rPr>
        <w:t xml:space="preserve"> </w:t>
      </w:r>
      <w:r w:rsidR="005B5C47" w:rsidRPr="00BB36A5">
        <w:rPr>
          <w:rFonts w:asciiTheme="majorHAnsi" w:hAnsiTheme="majorHAnsi" w:cstheme="majorHAnsi"/>
          <w:color w:val="auto"/>
          <w:lang w:val="es-PR"/>
        </w:rPr>
        <w:t>(</w:t>
      </w:r>
      <w:r w:rsidR="002A3899" w:rsidRPr="00BB36A5">
        <w:rPr>
          <w:rFonts w:asciiTheme="majorHAnsi" w:hAnsiTheme="majorHAnsi" w:cstheme="majorHAnsi"/>
          <w:color w:val="auto"/>
          <w:lang w:val="es-PR"/>
        </w:rPr>
        <w:t>Ley</w:t>
      </w:r>
      <w:r w:rsidR="005B5C47" w:rsidRPr="00BB36A5">
        <w:rPr>
          <w:rFonts w:asciiTheme="majorHAnsi" w:hAnsiTheme="majorHAnsi" w:cstheme="majorHAnsi"/>
          <w:color w:val="auto"/>
          <w:lang w:val="es-PR"/>
        </w:rPr>
        <w:t xml:space="preserve"> 73-2019)</w:t>
      </w:r>
      <w:r w:rsidR="00CA52A0" w:rsidRPr="00BB36A5">
        <w:rPr>
          <w:rFonts w:asciiTheme="majorHAnsi" w:hAnsiTheme="majorHAnsi" w:cstheme="majorHAnsi"/>
          <w:color w:val="auto"/>
          <w:lang w:val="es-PR"/>
        </w:rPr>
        <w:t>.  Según la Ley 73 del 2019, fue establecida luego de la selección de las escuelas a ser monitoreadas.  Durante el periodo que se llevó a cabo los procedimientos de evaluaciones de riesgo</w:t>
      </w:r>
      <w:r w:rsidR="005D63B8" w:rsidRPr="00BB36A5">
        <w:rPr>
          <w:rFonts w:asciiTheme="majorHAnsi" w:hAnsiTheme="majorHAnsi" w:cstheme="majorHAnsi"/>
          <w:color w:val="auto"/>
          <w:lang w:val="es-PR"/>
        </w:rPr>
        <w:t>,</w:t>
      </w:r>
      <w:r w:rsidR="00CA52A0" w:rsidRPr="00BB36A5">
        <w:rPr>
          <w:rFonts w:asciiTheme="majorHAnsi" w:hAnsiTheme="majorHAnsi" w:cstheme="majorHAnsi"/>
          <w:color w:val="auto"/>
          <w:lang w:val="es-PR"/>
        </w:rPr>
        <w:t xml:space="preserve"> los mismos fueron regido bajo las leyes y </w:t>
      </w:r>
      <w:r w:rsidR="00CA52A0" w:rsidRPr="00BB36A5">
        <w:rPr>
          <w:rFonts w:asciiTheme="majorHAnsi" w:hAnsiTheme="majorHAnsi" w:cstheme="majorHAnsi"/>
          <w:color w:val="auto"/>
          <w:lang w:val="es-PR"/>
        </w:rPr>
        <w:lastRenderedPageBreak/>
        <w:t xml:space="preserve">regulaciones existente.  Adecuadamente, </w:t>
      </w:r>
      <w:r w:rsidR="006201F6" w:rsidRPr="00BB36A5">
        <w:rPr>
          <w:rFonts w:asciiTheme="majorHAnsi" w:hAnsiTheme="majorHAnsi" w:cstheme="majorHAnsi"/>
          <w:color w:val="auto"/>
          <w:lang w:val="es-PR"/>
        </w:rPr>
        <w:t xml:space="preserve">los factores de riesgos fueron </w:t>
      </w:r>
      <w:r w:rsidR="005D63B8" w:rsidRPr="00BB36A5">
        <w:rPr>
          <w:rFonts w:asciiTheme="majorHAnsi" w:hAnsiTheme="majorHAnsi" w:cstheme="majorHAnsi"/>
          <w:color w:val="auto"/>
          <w:lang w:val="es-PR"/>
        </w:rPr>
        <w:t>considerados,</w:t>
      </w:r>
      <w:r w:rsidR="006201F6" w:rsidRPr="00BB36A5">
        <w:rPr>
          <w:rFonts w:asciiTheme="majorHAnsi" w:hAnsiTheme="majorHAnsi" w:cstheme="majorHAnsi"/>
          <w:color w:val="auto"/>
          <w:lang w:val="es-PR"/>
        </w:rPr>
        <w:t xml:space="preserve"> pero no aplicados.</w:t>
      </w:r>
    </w:p>
    <w:p w14:paraId="181806FD" w14:textId="0EA16C23" w:rsidR="006201F6" w:rsidRPr="00BB36A5" w:rsidRDefault="006201F6"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El nivel de impacto de los huracanes del 2017</w:t>
      </w:r>
    </w:p>
    <w:p w14:paraId="61BE3B4D" w14:textId="15035E7B" w:rsidR="006201F6" w:rsidRPr="00BB36A5" w:rsidRDefault="006201F6"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La cantidad de los fondos de la subvención otorgada</w:t>
      </w:r>
    </w:p>
    <w:p w14:paraId="3D4C4F94" w14:textId="1D7A2E66" w:rsidR="006201F6" w:rsidRPr="00BB36A5" w:rsidRDefault="006201F6"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El tamaño de </w:t>
      </w:r>
      <w:proofErr w:type="spellStart"/>
      <w:r w:rsidRPr="00BB36A5">
        <w:rPr>
          <w:rFonts w:asciiTheme="majorHAnsi" w:hAnsiTheme="majorHAnsi" w:cstheme="majorHAnsi"/>
          <w:color w:val="auto"/>
          <w:lang w:val="es-PR"/>
        </w:rPr>
        <w:t>de</w:t>
      </w:r>
      <w:proofErr w:type="spellEnd"/>
      <w:r w:rsidRPr="00BB36A5">
        <w:rPr>
          <w:rFonts w:asciiTheme="majorHAnsi" w:hAnsiTheme="majorHAnsi" w:cstheme="majorHAnsi"/>
          <w:color w:val="auto"/>
          <w:lang w:val="es-PR"/>
        </w:rPr>
        <w:t xml:space="preserve"> la matricula en las respectivas escuelas</w:t>
      </w:r>
    </w:p>
    <w:p w14:paraId="0256A074" w14:textId="3941A81D" w:rsidR="00F54322" w:rsidRPr="00BB36A5" w:rsidRDefault="002A3899" w:rsidP="00342E9E">
      <w:pPr>
        <w:pStyle w:val="Default"/>
        <w:numPr>
          <w:ilvl w:val="0"/>
          <w:numId w:val="7"/>
        </w:numPr>
        <w:spacing w:after="9"/>
        <w:ind w:left="1440" w:hanging="720"/>
        <w:jc w:val="both"/>
        <w:rPr>
          <w:rFonts w:asciiTheme="majorHAnsi" w:hAnsiTheme="majorHAnsi" w:cstheme="majorHAnsi"/>
          <w:color w:val="auto"/>
          <w:lang w:val="es-PR"/>
        </w:rPr>
      </w:pPr>
      <w:r w:rsidRPr="00BB36A5">
        <w:rPr>
          <w:rFonts w:asciiTheme="majorHAnsi" w:hAnsiTheme="majorHAnsi" w:cstheme="majorHAnsi"/>
          <w:color w:val="auto"/>
          <w:lang w:val="es-PR"/>
        </w:rPr>
        <w:t>Otros eventos naturales</w:t>
      </w:r>
      <w:r w:rsidR="005432FD"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Terremotos</w:t>
      </w:r>
      <w:r w:rsidR="005432FD"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 xml:space="preserve">polvos del </w:t>
      </w:r>
      <w:r w:rsidR="005432FD" w:rsidRPr="00BB36A5">
        <w:rPr>
          <w:rFonts w:asciiTheme="majorHAnsi" w:hAnsiTheme="majorHAnsi" w:cstheme="majorHAnsi"/>
          <w:color w:val="auto"/>
          <w:lang w:val="es-PR"/>
        </w:rPr>
        <w:t xml:space="preserve">Sahara, </w:t>
      </w:r>
      <w:r w:rsidRPr="00BB36A5">
        <w:rPr>
          <w:rFonts w:asciiTheme="majorHAnsi" w:hAnsiTheme="majorHAnsi" w:cstheme="majorHAnsi"/>
          <w:color w:val="auto"/>
          <w:lang w:val="es-PR"/>
        </w:rPr>
        <w:t>erupciones volcánicas en</w:t>
      </w:r>
      <w:r w:rsidR="005432FD"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las</w:t>
      </w:r>
      <w:r w:rsidR="005432FD" w:rsidRPr="00BB36A5">
        <w:rPr>
          <w:rFonts w:asciiTheme="majorHAnsi" w:hAnsiTheme="majorHAnsi" w:cstheme="majorHAnsi"/>
          <w:color w:val="auto"/>
          <w:lang w:val="es-PR"/>
        </w:rPr>
        <w:t xml:space="preserve"> Antil</w:t>
      </w:r>
      <w:r w:rsidRPr="00BB36A5">
        <w:rPr>
          <w:rFonts w:asciiTheme="majorHAnsi" w:hAnsiTheme="majorHAnsi" w:cstheme="majorHAnsi"/>
          <w:color w:val="auto"/>
          <w:lang w:val="es-PR"/>
        </w:rPr>
        <w:t>la</w:t>
      </w:r>
      <w:r w:rsidR="005432FD" w:rsidRPr="00BB36A5">
        <w:rPr>
          <w:rFonts w:asciiTheme="majorHAnsi" w:hAnsiTheme="majorHAnsi" w:cstheme="majorHAnsi"/>
          <w:color w:val="auto"/>
          <w:lang w:val="es-PR"/>
        </w:rPr>
        <w:t>s</w:t>
      </w:r>
      <w:r w:rsidRPr="00BB36A5">
        <w:rPr>
          <w:rFonts w:asciiTheme="majorHAnsi" w:hAnsiTheme="majorHAnsi" w:cstheme="majorHAnsi"/>
          <w:color w:val="auto"/>
          <w:lang w:val="es-PR"/>
        </w:rPr>
        <w:t xml:space="preserve"> Menores</w:t>
      </w:r>
      <w:r w:rsidR="005432FD"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 xml:space="preserve">Temporada de Tormentas del Atlántico </w:t>
      </w:r>
      <w:r w:rsidR="005432FD" w:rsidRPr="00BB36A5">
        <w:rPr>
          <w:rFonts w:asciiTheme="majorHAnsi" w:hAnsiTheme="majorHAnsi" w:cstheme="majorHAnsi"/>
          <w:color w:val="auto"/>
          <w:lang w:val="es-PR"/>
        </w:rPr>
        <w:t>2020)</w:t>
      </w:r>
      <w:r w:rsidR="006201F6" w:rsidRPr="00BB36A5">
        <w:rPr>
          <w:rFonts w:asciiTheme="majorHAnsi" w:hAnsiTheme="majorHAnsi" w:cstheme="majorHAnsi"/>
          <w:color w:val="auto"/>
          <w:lang w:val="es-PR"/>
        </w:rPr>
        <w:t>.  Es importante señalar, que para el tiempo que las escuelas fueron seleccionadas para el proceso de monitoria no ocurrió otro evento natural.  Luego de la selección se llevó a cabo, Puerto Rico experiment</w:t>
      </w:r>
      <w:r w:rsidR="005D63B8" w:rsidRPr="00BB36A5">
        <w:rPr>
          <w:rFonts w:asciiTheme="majorHAnsi" w:hAnsiTheme="majorHAnsi" w:cstheme="majorHAnsi"/>
          <w:color w:val="auto"/>
          <w:lang w:val="es-PR"/>
        </w:rPr>
        <w:t>ó</w:t>
      </w:r>
      <w:r w:rsidR="006201F6" w:rsidRPr="00BB36A5">
        <w:rPr>
          <w:rFonts w:asciiTheme="majorHAnsi" w:hAnsiTheme="majorHAnsi" w:cstheme="majorHAnsi"/>
          <w:color w:val="auto"/>
          <w:lang w:val="es-PR"/>
        </w:rPr>
        <w:t xml:space="preserve"> varios terremotos y la pandemia global del COVID</w:t>
      </w:r>
      <w:r w:rsidR="005D63B8" w:rsidRPr="00BB36A5">
        <w:rPr>
          <w:rFonts w:asciiTheme="majorHAnsi" w:hAnsiTheme="majorHAnsi" w:cstheme="majorHAnsi"/>
          <w:color w:val="auto"/>
          <w:lang w:val="es-PR"/>
        </w:rPr>
        <w:t xml:space="preserve"> </w:t>
      </w:r>
      <w:r w:rsidR="006201F6" w:rsidRPr="00BB36A5">
        <w:rPr>
          <w:rFonts w:asciiTheme="majorHAnsi" w:hAnsiTheme="majorHAnsi" w:cstheme="majorHAnsi"/>
          <w:color w:val="auto"/>
          <w:lang w:val="es-PR"/>
        </w:rPr>
        <w:t xml:space="preserve">19.  </w:t>
      </w:r>
    </w:p>
    <w:p w14:paraId="2322ADEF" w14:textId="77777777" w:rsidR="00FF3DE5" w:rsidRPr="00BB36A5" w:rsidRDefault="00D22FDE" w:rsidP="00342E9E">
      <w:pPr>
        <w:pStyle w:val="Default"/>
        <w:numPr>
          <w:ilvl w:val="0"/>
          <w:numId w:val="7"/>
        </w:numPr>
        <w:spacing w:after="9"/>
        <w:ind w:firstLine="0"/>
        <w:jc w:val="both"/>
        <w:rPr>
          <w:rFonts w:asciiTheme="majorHAnsi" w:hAnsiTheme="majorHAnsi" w:cstheme="majorHAnsi"/>
          <w:color w:val="auto"/>
          <w:lang w:val="es-PR"/>
        </w:rPr>
      </w:pPr>
      <w:r w:rsidRPr="00BB36A5">
        <w:rPr>
          <w:rFonts w:asciiTheme="majorHAnsi" w:hAnsiTheme="majorHAnsi" w:cstheme="majorHAnsi"/>
          <w:color w:val="auto"/>
          <w:lang w:val="es-PR"/>
        </w:rPr>
        <w:t>Anulación</w:t>
      </w:r>
      <w:r w:rsidR="002A3899" w:rsidRPr="00BB36A5">
        <w:rPr>
          <w:rFonts w:asciiTheme="majorHAnsi" w:hAnsiTheme="majorHAnsi" w:cstheme="majorHAnsi"/>
          <w:color w:val="auto"/>
          <w:lang w:val="es-PR"/>
        </w:rPr>
        <w:t xml:space="preserve"> del Manejo</w:t>
      </w:r>
      <w:r w:rsidR="005432FD" w:rsidRPr="00BB36A5">
        <w:rPr>
          <w:rFonts w:asciiTheme="majorHAnsi" w:hAnsiTheme="majorHAnsi" w:cstheme="majorHAnsi"/>
          <w:color w:val="auto"/>
          <w:lang w:val="es-PR"/>
        </w:rPr>
        <w:t xml:space="preserve"> (</w:t>
      </w:r>
      <w:r w:rsidR="002A3899" w:rsidRPr="00BB36A5">
        <w:rPr>
          <w:rFonts w:asciiTheme="majorHAnsi" w:hAnsiTheme="majorHAnsi" w:cstheme="majorHAnsi"/>
          <w:color w:val="auto"/>
          <w:lang w:val="es-PR"/>
        </w:rPr>
        <w:t>probabilidad de anulaciones administrativas y financieras</w:t>
      </w:r>
      <w:r w:rsidR="005432FD" w:rsidRPr="00BB36A5">
        <w:rPr>
          <w:rFonts w:asciiTheme="majorHAnsi" w:hAnsiTheme="majorHAnsi" w:cstheme="majorHAnsi"/>
          <w:color w:val="auto"/>
          <w:lang w:val="es-PR"/>
        </w:rPr>
        <w:t>)</w:t>
      </w:r>
      <w:r w:rsidR="00FF3DE5" w:rsidRPr="00BB36A5">
        <w:rPr>
          <w:rFonts w:asciiTheme="majorHAnsi" w:hAnsiTheme="majorHAnsi" w:cstheme="majorHAnsi"/>
          <w:color w:val="auto"/>
          <w:lang w:val="es-PR"/>
        </w:rPr>
        <w:t xml:space="preserve"> por </w:t>
      </w:r>
    </w:p>
    <w:p w14:paraId="13AD5E99" w14:textId="6248EFC1" w:rsidR="00F54322" w:rsidRPr="00BB36A5" w:rsidRDefault="00FF3DE5" w:rsidP="00FF3DE5">
      <w:pPr>
        <w:pStyle w:val="Default"/>
        <w:spacing w:after="9"/>
        <w:ind w:left="720" w:firstLine="720"/>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ejemplo, la falta de experiencia.  </w:t>
      </w:r>
    </w:p>
    <w:p w14:paraId="5B33181D" w14:textId="22F1F1D5" w:rsidR="00D35AEE" w:rsidRPr="00BB36A5" w:rsidRDefault="00D35AEE" w:rsidP="002A3899">
      <w:pPr>
        <w:pStyle w:val="Default"/>
        <w:spacing w:after="9"/>
        <w:ind w:left="720"/>
        <w:jc w:val="both"/>
        <w:rPr>
          <w:rFonts w:asciiTheme="majorHAnsi" w:hAnsiTheme="majorHAnsi" w:cstheme="majorHAnsi"/>
          <w:color w:val="FF0000"/>
          <w:lang w:val="es-PR"/>
        </w:rPr>
      </w:pPr>
    </w:p>
    <w:p w14:paraId="0E4D942B" w14:textId="77777777" w:rsidR="00333CE6" w:rsidRPr="00BB36A5" w:rsidRDefault="00333CE6" w:rsidP="00C539FD">
      <w:pPr>
        <w:pStyle w:val="Heading3"/>
        <w:rPr>
          <w:rFonts w:cstheme="majorHAnsi"/>
          <w:lang w:val="es-PR"/>
        </w:rPr>
      </w:pPr>
    </w:p>
    <w:p w14:paraId="0260E5FB" w14:textId="4325702F" w:rsidR="002C0E6B" w:rsidRPr="00BB36A5" w:rsidRDefault="00493F31" w:rsidP="00C539FD">
      <w:pPr>
        <w:pStyle w:val="Heading3"/>
        <w:rPr>
          <w:rFonts w:cstheme="majorHAnsi"/>
          <w:lang w:val="es-PR"/>
        </w:rPr>
      </w:pPr>
      <w:r w:rsidRPr="00BB36A5">
        <w:rPr>
          <w:rFonts w:cstheme="majorHAnsi"/>
          <w:lang w:val="es-PR"/>
        </w:rPr>
        <w:t>Proceso de Priorización de Evaluación de Riesgos</w:t>
      </w:r>
    </w:p>
    <w:p w14:paraId="2D653DA4" w14:textId="7375A309" w:rsidR="001F01C1" w:rsidRPr="00BB36A5" w:rsidRDefault="002042BD"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DEPR cuenta con un procedimiento consolidado de evaluación de riesgos para determinar las escuelas y regiones que requieren más atención y se basa en el desempeño o rendimiento del pasado y el actual para cumplir los requisitos de los programas federales.</w:t>
      </w:r>
      <w:r w:rsidR="00760956"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La Unidad de Monitoria del DEPR adscrita a SAAF, utiliza la evaluación de riesgos para identificar y monitorear el progreso de cada escuela que recibe fondos federales. </w:t>
      </w:r>
    </w:p>
    <w:p w14:paraId="69FC48F7" w14:textId="77777777" w:rsidR="001F01C1" w:rsidRPr="00BB36A5" w:rsidRDefault="001F01C1" w:rsidP="002C0E6B">
      <w:pPr>
        <w:pStyle w:val="Default"/>
        <w:spacing w:after="9"/>
        <w:jc w:val="both"/>
        <w:rPr>
          <w:rFonts w:asciiTheme="majorHAnsi" w:hAnsiTheme="majorHAnsi" w:cstheme="majorHAnsi"/>
          <w:color w:val="000000" w:themeColor="text1"/>
          <w:lang w:val="es-PR"/>
        </w:rPr>
      </w:pPr>
    </w:p>
    <w:p w14:paraId="4034A1A2" w14:textId="77777777" w:rsidR="00FB297B" w:rsidRPr="00BB36A5" w:rsidRDefault="00FB297B" w:rsidP="00FB297B">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nivel general de riesgo identificado debe determinar la frecuencia y la intensidad de las prácticas de monitoria incluyendo la forma de como mitigar los riesgos identificados como, por ejemplo, proveer adiestramientos adicionales y asistencia técnica o aumentar la frecuencia de la monitoria.</w:t>
      </w:r>
    </w:p>
    <w:p w14:paraId="16EAF9F1" w14:textId="77777777" w:rsidR="001F01C1" w:rsidRPr="00BB36A5" w:rsidRDefault="001F01C1" w:rsidP="002C0E6B">
      <w:pPr>
        <w:pStyle w:val="Default"/>
        <w:spacing w:after="9"/>
        <w:jc w:val="both"/>
        <w:rPr>
          <w:rFonts w:asciiTheme="majorHAnsi" w:hAnsiTheme="majorHAnsi" w:cstheme="majorHAnsi"/>
          <w:color w:val="000000" w:themeColor="text1"/>
          <w:lang w:val="es-PR"/>
        </w:rPr>
      </w:pPr>
    </w:p>
    <w:p w14:paraId="65184C24" w14:textId="7934AFDD" w:rsidR="00FB297B" w:rsidRPr="00BB36A5" w:rsidRDefault="00FB297B" w:rsidP="00FB297B">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enfoque de la monitoria puede ser diferente basado en la etapa de implementación de cada iniciativa/escuela:</w:t>
      </w:r>
    </w:p>
    <w:p w14:paraId="754B9AB5" w14:textId="707B0178" w:rsidR="00A26A55" w:rsidRPr="00BB36A5" w:rsidRDefault="00A26A55" w:rsidP="00FB297B">
      <w:pPr>
        <w:pStyle w:val="Default"/>
        <w:jc w:val="both"/>
        <w:rPr>
          <w:rFonts w:asciiTheme="majorHAnsi" w:hAnsiTheme="majorHAnsi" w:cstheme="majorHAnsi"/>
          <w:color w:val="000000" w:themeColor="text1"/>
          <w:lang w:val="es-PR"/>
        </w:rPr>
      </w:pPr>
    </w:p>
    <w:p w14:paraId="2E713D85" w14:textId="3E6A7CDB" w:rsidR="00A26A55" w:rsidRPr="00BB36A5" w:rsidRDefault="00A26A55" w:rsidP="00A26A55">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Formulación – </w:t>
      </w:r>
      <w:r w:rsidR="00EB54D2" w:rsidRPr="00BB36A5">
        <w:rPr>
          <w:rFonts w:asciiTheme="majorHAnsi" w:hAnsiTheme="majorHAnsi" w:cstheme="majorHAnsi"/>
          <w:color w:val="auto"/>
          <w:lang w:val="es-PR"/>
        </w:rPr>
        <w:t>e</w:t>
      </w:r>
      <w:r w:rsidRPr="00BB36A5">
        <w:rPr>
          <w:rFonts w:asciiTheme="majorHAnsi" w:hAnsiTheme="majorHAnsi" w:cstheme="majorHAnsi"/>
          <w:color w:val="auto"/>
          <w:lang w:val="es-PR"/>
        </w:rPr>
        <w:t>n la etapa de formulación cada iniciativa estará en proceso de desarrollo. El enfoque en esta etapa se centra en</w:t>
      </w:r>
      <w:r w:rsidR="00760956"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comprender la capacidad de la iniciativa/escuela para administrar los fondos de las subvenciones a través del proceso de evaluación de riesgos; comprender cómo se llevará a cabo el trabajo, incluyendo si la iniciativa/escuela utiliza procesos de contratación o compras (por quién y cuál sería la línea de tiempo); análisis de la documentación de la subvención (según corresponda) o adiestramientos de procesos financieros/contables.</w:t>
      </w:r>
    </w:p>
    <w:p w14:paraId="19CADA10" w14:textId="77777777" w:rsidR="00284B94" w:rsidRPr="00BB36A5" w:rsidRDefault="00284B94" w:rsidP="00FB297B">
      <w:pPr>
        <w:pStyle w:val="Default"/>
        <w:jc w:val="both"/>
        <w:rPr>
          <w:rFonts w:asciiTheme="majorHAnsi" w:hAnsiTheme="majorHAnsi" w:cstheme="majorHAnsi"/>
          <w:color w:val="000000" w:themeColor="text1"/>
          <w:lang w:val="es-PR"/>
        </w:rPr>
      </w:pPr>
    </w:p>
    <w:p w14:paraId="39F45234" w14:textId="31E2D3C1" w:rsidR="00A26A55" w:rsidRPr="00BB36A5" w:rsidRDefault="00C822E0" w:rsidP="00FB297B">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Proceso de </w:t>
      </w:r>
      <w:r w:rsidR="00A26A55" w:rsidRPr="00BB36A5">
        <w:rPr>
          <w:rFonts w:asciiTheme="majorHAnsi" w:hAnsiTheme="majorHAnsi" w:cstheme="majorHAnsi"/>
          <w:color w:val="000000" w:themeColor="text1"/>
          <w:lang w:val="es-PR"/>
        </w:rPr>
        <w:t>Compras o Contrataci</w:t>
      </w:r>
      <w:r w:rsidRPr="00BB36A5">
        <w:rPr>
          <w:rFonts w:asciiTheme="majorHAnsi" w:hAnsiTheme="majorHAnsi" w:cstheme="majorHAnsi"/>
          <w:color w:val="000000" w:themeColor="text1"/>
          <w:lang w:val="es-PR"/>
        </w:rPr>
        <w:t>ón</w:t>
      </w:r>
      <w:r w:rsidR="00A26A55" w:rsidRPr="00BB36A5">
        <w:rPr>
          <w:rFonts w:asciiTheme="majorHAnsi" w:hAnsiTheme="majorHAnsi" w:cstheme="majorHAnsi"/>
          <w:color w:val="000000" w:themeColor="text1"/>
          <w:lang w:val="es-PR"/>
        </w:rPr>
        <w:t xml:space="preserve"> – </w:t>
      </w:r>
      <w:r w:rsidR="00EB54D2" w:rsidRPr="00BB36A5">
        <w:rPr>
          <w:rFonts w:asciiTheme="majorHAnsi" w:hAnsiTheme="majorHAnsi" w:cstheme="majorHAnsi"/>
          <w:color w:val="000000" w:themeColor="text1"/>
          <w:lang w:val="es-PR"/>
        </w:rPr>
        <w:t>e</w:t>
      </w:r>
      <w:r w:rsidR="00A26A55" w:rsidRPr="00BB36A5">
        <w:rPr>
          <w:rFonts w:asciiTheme="majorHAnsi" w:hAnsiTheme="majorHAnsi" w:cstheme="majorHAnsi"/>
          <w:color w:val="000000" w:themeColor="text1"/>
          <w:lang w:val="es-PR"/>
        </w:rPr>
        <w:t>n esta etapa de cada iniciativa, la iniciativa/escuela está implementando el proceso de contrataciones o compras.  El análisis de la documentación que constituirá la base de la contratación o compra puede estar en curso o completado durante esta fase y se hará referencia de acuerdo con las visitas de seguimiento para determinar si la misma fue consistente con los requisitos de EDGAR, 2 CFR 200 y la documentación requerida por la subvención y otras leyes y reglamentos aplicables.</w:t>
      </w:r>
    </w:p>
    <w:p w14:paraId="126FC66F" w14:textId="77777777" w:rsidR="00A26A55" w:rsidRPr="00BB36A5" w:rsidRDefault="00A26A55" w:rsidP="00FB297B">
      <w:pPr>
        <w:pStyle w:val="Default"/>
        <w:jc w:val="both"/>
        <w:rPr>
          <w:rFonts w:asciiTheme="majorHAnsi" w:hAnsiTheme="majorHAnsi" w:cstheme="majorHAnsi"/>
          <w:color w:val="000000" w:themeColor="text1"/>
          <w:lang w:val="es-PR"/>
        </w:rPr>
      </w:pPr>
    </w:p>
    <w:p w14:paraId="103F5A8B" w14:textId="65E25DD1" w:rsidR="00A26A55" w:rsidRPr="00BB36A5" w:rsidRDefault="00284B94" w:rsidP="00FB297B">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lastRenderedPageBreak/>
        <w:t xml:space="preserve">Ejecución– </w:t>
      </w:r>
      <w:r w:rsidR="00EB54D2" w:rsidRPr="00BB36A5">
        <w:rPr>
          <w:rFonts w:asciiTheme="majorHAnsi" w:hAnsiTheme="majorHAnsi" w:cstheme="majorHAnsi"/>
          <w:color w:val="000000" w:themeColor="text1"/>
          <w:lang w:val="es-PR"/>
        </w:rPr>
        <w:t>d</w:t>
      </w:r>
      <w:r w:rsidRPr="00BB36A5">
        <w:rPr>
          <w:rFonts w:asciiTheme="majorHAnsi" w:hAnsiTheme="majorHAnsi" w:cstheme="majorHAnsi"/>
          <w:color w:val="000000" w:themeColor="text1"/>
          <w:lang w:val="es-PR"/>
        </w:rPr>
        <w:t xml:space="preserve">urante la </w:t>
      </w:r>
      <w:r w:rsidR="00EB54D2" w:rsidRPr="00BB36A5">
        <w:rPr>
          <w:rFonts w:asciiTheme="majorHAnsi" w:hAnsiTheme="majorHAnsi" w:cstheme="majorHAnsi"/>
          <w:color w:val="000000" w:themeColor="text1"/>
          <w:lang w:val="es-PR"/>
        </w:rPr>
        <w:t>etapa</w:t>
      </w:r>
      <w:r w:rsidRPr="00BB36A5">
        <w:rPr>
          <w:rFonts w:asciiTheme="majorHAnsi" w:hAnsiTheme="majorHAnsi" w:cstheme="majorHAnsi"/>
          <w:color w:val="000000" w:themeColor="text1"/>
          <w:lang w:val="es-PR"/>
        </w:rPr>
        <w:t xml:space="preserve"> de ejecución, el alcance más amplio de la monitoria puede iniciarse ya que los gastos reales pueden observarse con cargo a los presupuestos, además de evaluar cómo se organiza y mantiene la documentación relevante correspondiente. En esta etapa también es probable que se soliciten </w:t>
      </w:r>
      <w:proofErr w:type="spellStart"/>
      <w:r w:rsidRPr="00BB36A5">
        <w:rPr>
          <w:rFonts w:asciiTheme="majorHAnsi" w:hAnsiTheme="majorHAnsi" w:cstheme="majorHAnsi"/>
          <w:i/>
          <w:iCs/>
          <w:color w:val="000000" w:themeColor="text1"/>
          <w:lang w:val="es-PR"/>
        </w:rPr>
        <w:t>drawdowns</w:t>
      </w:r>
      <w:proofErr w:type="spellEnd"/>
      <w:r w:rsidRPr="00BB36A5">
        <w:rPr>
          <w:rFonts w:asciiTheme="majorHAnsi" w:hAnsiTheme="majorHAnsi" w:cstheme="majorHAnsi"/>
          <w:color w:val="000000" w:themeColor="text1"/>
          <w:lang w:val="es-PR"/>
        </w:rPr>
        <w:t xml:space="preserve"> o reembolsos de los fondos federales. A lo largo de la fase de ejecución la iniciativa/escuela puede seguir trabajando en áreas de oportunidades para que la iniciativa/escuela mejore su desempeño en las áreas observadas.</w:t>
      </w:r>
    </w:p>
    <w:p w14:paraId="02DC989B" w14:textId="63D71ED0" w:rsidR="00A26A55" w:rsidRPr="00BB36A5" w:rsidRDefault="00A26A55" w:rsidP="00FB297B">
      <w:pPr>
        <w:pStyle w:val="Default"/>
        <w:jc w:val="both"/>
        <w:rPr>
          <w:rFonts w:asciiTheme="majorHAnsi" w:hAnsiTheme="majorHAnsi" w:cstheme="majorHAnsi"/>
          <w:color w:val="000000" w:themeColor="text1"/>
          <w:lang w:val="es-PR"/>
        </w:rPr>
      </w:pPr>
    </w:p>
    <w:p w14:paraId="55DE0168" w14:textId="7C77CEA8" w:rsidR="00EB54D2" w:rsidRPr="00BB36A5" w:rsidRDefault="00EB54D2" w:rsidP="00EB54D2">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Cierre– durante la etapa de cierre, se pueden finalizar análisis detallados de la documentación y los gastos. Esta etapa abarca la reconciliación de fondos e inventarios, así como la presentación de informes finales del progreso del proyecto (Informes de logros, objetivos, etc.). En esta etapa las deficiencias se pueden identificar para que la iniciativa/escuela mitigue las mismas si es posible.  </w:t>
      </w:r>
    </w:p>
    <w:p w14:paraId="5F99E84A" w14:textId="77777777" w:rsidR="00A26A55" w:rsidRPr="00BB36A5" w:rsidRDefault="00A26A55" w:rsidP="00FB297B">
      <w:pPr>
        <w:pStyle w:val="Default"/>
        <w:jc w:val="both"/>
        <w:rPr>
          <w:rFonts w:asciiTheme="majorHAnsi" w:hAnsiTheme="majorHAnsi" w:cstheme="majorHAnsi"/>
          <w:color w:val="000000" w:themeColor="text1"/>
          <w:lang w:val="es-PR"/>
        </w:rPr>
      </w:pPr>
    </w:p>
    <w:p w14:paraId="3FD3673B" w14:textId="77777777" w:rsidR="001F01C1" w:rsidRPr="00BB36A5" w:rsidRDefault="001F01C1" w:rsidP="002C0E6B">
      <w:pPr>
        <w:pStyle w:val="Default"/>
        <w:spacing w:after="9"/>
        <w:jc w:val="both"/>
        <w:rPr>
          <w:rFonts w:asciiTheme="majorHAnsi" w:hAnsiTheme="majorHAnsi" w:cstheme="majorHAnsi"/>
          <w:color w:val="000000" w:themeColor="text1"/>
          <w:lang w:val="es-PR"/>
        </w:rPr>
      </w:pPr>
    </w:p>
    <w:p w14:paraId="168D6BE0" w14:textId="3835F870" w:rsidR="002042BD" w:rsidRPr="00BB36A5" w:rsidRDefault="002042BD"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Bajo el </w:t>
      </w:r>
      <w:r w:rsidR="00C822E0"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 xml:space="preserve"> el DEPR utilizará los siguientes factores para poder evaluar los riesgos</w:t>
      </w:r>
      <w:r w:rsidR="00333CE6"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priorizar los esfuerzos de monitoria y supervisión:</w:t>
      </w:r>
    </w:p>
    <w:p w14:paraId="37357947" w14:textId="77777777" w:rsidR="002C0E6B" w:rsidRPr="00BB36A5" w:rsidRDefault="002C0E6B" w:rsidP="002C0E6B">
      <w:pPr>
        <w:pStyle w:val="Default"/>
        <w:spacing w:after="9"/>
        <w:jc w:val="both"/>
        <w:rPr>
          <w:rFonts w:asciiTheme="majorHAnsi" w:hAnsiTheme="majorHAnsi" w:cstheme="majorHAnsi"/>
          <w:color w:val="000000" w:themeColor="text1"/>
          <w:lang w:val="es-PR"/>
        </w:rPr>
      </w:pPr>
    </w:p>
    <w:p w14:paraId="197A5723" w14:textId="212FBF3A" w:rsidR="002C0E6B" w:rsidRPr="00BB36A5" w:rsidRDefault="000116AA" w:rsidP="00342E9E">
      <w:pPr>
        <w:pStyle w:val="Default"/>
        <w:numPr>
          <w:ilvl w:val="0"/>
          <w:numId w:val="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Las escuelas y las iniciativas que reciben la mayor cantidad de ayuda se priorizan para efectos de monitoreo</w:t>
      </w:r>
      <w:r w:rsidR="00123430"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como primer paso en el proceso de evaluación de riesgos. El seguimiento y monitoreo de las compras de bienes y servicios realizados y distribuidos a las escuelas se mantendrá en el Nivel Central</w:t>
      </w:r>
      <w:r w:rsidR="00676DBF" w:rsidRPr="00BB36A5">
        <w:rPr>
          <w:rFonts w:asciiTheme="majorHAnsi" w:hAnsiTheme="majorHAnsi" w:cstheme="majorHAnsi"/>
          <w:color w:val="000000" w:themeColor="text1"/>
          <w:lang w:val="es-PR"/>
        </w:rPr>
        <w:t xml:space="preserve"> en el </w:t>
      </w:r>
      <w:r w:rsidR="00E32334" w:rsidRPr="00BB36A5">
        <w:rPr>
          <w:rFonts w:asciiTheme="majorHAnsi" w:hAnsiTheme="majorHAnsi" w:cstheme="majorHAnsi"/>
          <w:color w:val="000000" w:themeColor="text1"/>
          <w:lang w:val="es-PR"/>
        </w:rPr>
        <w:t>Módulo</w:t>
      </w:r>
      <w:r w:rsidR="00676DBF" w:rsidRPr="00BB36A5">
        <w:rPr>
          <w:rFonts w:asciiTheme="majorHAnsi" w:hAnsiTheme="majorHAnsi" w:cstheme="majorHAnsi"/>
          <w:color w:val="000000" w:themeColor="text1"/>
          <w:lang w:val="es-PR"/>
        </w:rPr>
        <w:t xml:space="preserve"> de Inventario en SIFDE (Sistema de Información Financiero).  </w:t>
      </w:r>
      <w:r w:rsidR="00E32334" w:rsidRPr="00BB36A5">
        <w:rPr>
          <w:rFonts w:asciiTheme="majorHAnsi" w:hAnsiTheme="majorHAnsi" w:cstheme="majorHAnsi"/>
          <w:color w:val="000000" w:themeColor="text1"/>
          <w:lang w:val="es-PR"/>
        </w:rPr>
        <w:t>Además</w:t>
      </w:r>
      <w:r w:rsidR="00676DBF" w:rsidRPr="00BB36A5">
        <w:rPr>
          <w:rFonts w:asciiTheme="majorHAnsi" w:hAnsiTheme="majorHAnsi" w:cstheme="majorHAnsi"/>
          <w:color w:val="000000" w:themeColor="text1"/>
          <w:lang w:val="es-PR"/>
        </w:rPr>
        <w:t xml:space="preserve">, </w:t>
      </w:r>
      <w:r w:rsidR="005D63B8" w:rsidRPr="00BB36A5">
        <w:rPr>
          <w:rFonts w:asciiTheme="majorHAnsi" w:hAnsiTheme="majorHAnsi" w:cstheme="majorHAnsi"/>
          <w:color w:val="000000" w:themeColor="text1"/>
          <w:lang w:val="es-PR"/>
        </w:rPr>
        <w:t xml:space="preserve">el Programa proyecta </w:t>
      </w:r>
      <w:r w:rsidR="00676DBF" w:rsidRPr="00BB36A5">
        <w:rPr>
          <w:rFonts w:asciiTheme="majorHAnsi" w:hAnsiTheme="majorHAnsi" w:cstheme="majorHAnsi"/>
          <w:color w:val="000000" w:themeColor="text1"/>
          <w:lang w:val="es-PR"/>
        </w:rPr>
        <w:t xml:space="preserve">tener un segundo y más detallado sistema de rastreo de inventario como parte de una de las iniciativas del programa </w:t>
      </w:r>
      <w:proofErr w:type="spellStart"/>
      <w:r w:rsidR="00676DBF" w:rsidRPr="00BB36A5">
        <w:rPr>
          <w:rFonts w:asciiTheme="majorHAnsi" w:hAnsiTheme="majorHAnsi" w:cstheme="majorHAnsi"/>
          <w:i/>
          <w:iCs/>
          <w:color w:val="000000" w:themeColor="text1"/>
          <w:lang w:val="es-PR"/>
        </w:rPr>
        <w:t>Restart</w:t>
      </w:r>
      <w:proofErr w:type="spellEnd"/>
      <w:r w:rsidR="00676DBF" w:rsidRPr="00BB36A5">
        <w:rPr>
          <w:rFonts w:asciiTheme="majorHAnsi" w:hAnsiTheme="majorHAnsi" w:cstheme="majorHAnsi"/>
          <w:color w:val="000000" w:themeColor="text1"/>
          <w:lang w:val="es-PR"/>
        </w:rPr>
        <w:t xml:space="preserve">, el cual no estaba implementado cuando se seleccionaron las escuelas.   </w:t>
      </w:r>
      <w:r w:rsidRPr="00BB36A5">
        <w:rPr>
          <w:rFonts w:asciiTheme="majorHAnsi" w:hAnsiTheme="majorHAnsi" w:cstheme="majorHAnsi"/>
          <w:color w:val="000000" w:themeColor="text1"/>
          <w:lang w:val="es-PR"/>
        </w:rPr>
        <w:t>E</w:t>
      </w:r>
      <w:r w:rsidR="00676DBF"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informe permitirá or</w:t>
      </w:r>
      <w:r w:rsidR="00E32334" w:rsidRPr="00BB36A5">
        <w:rPr>
          <w:rFonts w:asciiTheme="majorHAnsi" w:hAnsiTheme="majorHAnsi" w:cstheme="majorHAnsi"/>
          <w:color w:val="000000" w:themeColor="text1"/>
          <w:lang w:val="es-PR"/>
        </w:rPr>
        <w:t>ganizar</w:t>
      </w:r>
      <w:r w:rsidRPr="00BB36A5">
        <w:rPr>
          <w:rFonts w:asciiTheme="majorHAnsi" w:hAnsiTheme="majorHAnsi" w:cstheme="majorHAnsi"/>
          <w:color w:val="000000" w:themeColor="text1"/>
          <w:lang w:val="es-PR"/>
        </w:rPr>
        <w:t xml:space="preserve"> y filtrar fácilmente la cantidad de ayuda o fondos proporcionados para cada escuela.</w:t>
      </w:r>
    </w:p>
    <w:p w14:paraId="056D91FD" w14:textId="75DC97A3" w:rsidR="002C0E6B" w:rsidRPr="00BB36A5" w:rsidRDefault="000116AA" w:rsidP="00342E9E">
      <w:pPr>
        <w:pStyle w:val="Default"/>
        <w:numPr>
          <w:ilvl w:val="0"/>
          <w:numId w:val="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A continuación, la selección de las escuelas a monitorear será una muestra representativa de las escuelas públicas que también considerará:</w:t>
      </w:r>
    </w:p>
    <w:p w14:paraId="57865A32" w14:textId="77777777" w:rsidR="002C0E6B" w:rsidRPr="00BB36A5" w:rsidRDefault="002C0E6B" w:rsidP="002C0E6B">
      <w:pPr>
        <w:pStyle w:val="Default"/>
        <w:spacing w:after="9"/>
        <w:ind w:left="720"/>
        <w:jc w:val="both"/>
        <w:rPr>
          <w:rFonts w:asciiTheme="majorHAnsi" w:hAnsiTheme="majorHAnsi" w:cstheme="majorHAnsi"/>
          <w:color w:val="000000" w:themeColor="text1"/>
          <w:lang w:val="es-PR"/>
        </w:rPr>
      </w:pPr>
    </w:p>
    <w:p w14:paraId="583F0E59" w14:textId="21AC9E85" w:rsidR="002C0E6B" w:rsidRPr="00BB36A5" w:rsidRDefault="000116AA" w:rsidP="00342E9E">
      <w:pPr>
        <w:pStyle w:val="Default"/>
        <w:numPr>
          <w:ilvl w:val="1"/>
          <w:numId w:val="1"/>
        </w:numPr>
        <w:spacing w:after="9"/>
        <w:ind w:left="72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Muestra en escuelas primarias, intermedias y secundarias</w:t>
      </w:r>
    </w:p>
    <w:p w14:paraId="0616528A" w14:textId="1B4AC3D4" w:rsidR="002C0E6B" w:rsidRPr="00BB36A5" w:rsidRDefault="000116AA" w:rsidP="00342E9E">
      <w:pPr>
        <w:pStyle w:val="Default"/>
        <w:numPr>
          <w:ilvl w:val="1"/>
          <w:numId w:val="1"/>
        </w:numPr>
        <w:ind w:left="720"/>
        <w:jc w:val="both"/>
        <w:rPr>
          <w:rFonts w:asciiTheme="majorHAnsi" w:hAnsiTheme="majorHAnsi" w:cstheme="majorHAnsi"/>
          <w:color w:val="000000" w:themeColor="text1"/>
        </w:rPr>
      </w:pPr>
      <w:r w:rsidRPr="00BB36A5">
        <w:rPr>
          <w:rFonts w:asciiTheme="majorHAnsi" w:hAnsiTheme="majorHAnsi" w:cstheme="majorHAnsi"/>
          <w:color w:val="000000" w:themeColor="text1"/>
        </w:rPr>
        <w:t>Matricula</w:t>
      </w:r>
      <w:r w:rsidR="002C0E6B" w:rsidRPr="00BB36A5">
        <w:rPr>
          <w:rFonts w:asciiTheme="majorHAnsi" w:hAnsiTheme="majorHAnsi" w:cstheme="majorHAnsi"/>
          <w:color w:val="000000" w:themeColor="text1"/>
        </w:rPr>
        <w:t>/</w:t>
      </w:r>
      <w:r w:rsidRPr="00BB36A5">
        <w:rPr>
          <w:rFonts w:asciiTheme="majorHAnsi" w:hAnsiTheme="majorHAnsi" w:cstheme="majorHAnsi"/>
          <w:color w:val="000000" w:themeColor="text1"/>
          <w:lang w:val="es-PR"/>
        </w:rPr>
        <w:t xml:space="preserve"> Tamaño</w:t>
      </w:r>
    </w:p>
    <w:p w14:paraId="515291E8" w14:textId="77777777" w:rsidR="0058431C" w:rsidRPr="00BB36A5" w:rsidRDefault="0058431C" w:rsidP="00342E9E">
      <w:pPr>
        <w:pStyle w:val="Default"/>
        <w:numPr>
          <w:ilvl w:val="1"/>
          <w:numId w:val="1"/>
        </w:numPr>
        <w:ind w:left="72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Nivel de impacto de los huracanes </w:t>
      </w:r>
    </w:p>
    <w:p w14:paraId="61E2ABEA" w14:textId="4CA59ED5" w:rsidR="002C0E6B" w:rsidRPr="00BB36A5" w:rsidRDefault="0058431C" w:rsidP="00676DBF">
      <w:pPr>
        <w:pStyle w:val="Default"/>
        <w:numPr>
          <w:ilvl w:val="1"/>
          <w:numId w:val="1"/>
        </w:numPr>
        <w:ind w:left="720"/>
        <w:jc w:val="both"/>
        <w:rPr>
          <w:rFonts w:asciiTheme="majorHAnsi" w:hAnsiTheme="majorHAnsi" w:cstheme="majorHAnsi"/>
          <w:color w:val="000000" w:themeColor="text1"/>
        </w:rPr>
      </w:pPr>
      <w:r w:rsidRPr="00BB36A5">
        <w:rPr>
          <w:rFonts w:asciiTheme="majorHAnsi" w:hAnsiTheme="majorHAnsi" w:cstheme="majorHAnsi"/>
          <w:color w:val="000000" w:themeColor="text1"/>
        </w:rPr>
        <w:t xml:space="preserve">Mandato de </w:t>
      </w:r>
      <w:proofErr w:type="spellStart"/>
      <w:r w:rsidRPr="00BB36A5">
        <w:rPr>
          <w:rFonts w:asciiTheme="majorHAnsi" w:hAnsiTheme="majorHAnsi" w:cstheme="majorHAnsi"/>
          <w:color w:val="000000" w:themeColor="text1"/>
        </w:rPr>
        <w:t>liderazgo</w:t>
      </w:r>
      <w:proofErr w:type="spellEnd"/>
      <w:r w:rsidR="002C0E6B" w:rsidRPr="00BB36A5">
        <w:rPr>
          <w:rFonts w:asciiTheme="majorHAnsi" w:hAnsiTheme="majorHAnsi" w:cstheme="majorHAnsi"/>
          <w:color w:val="000000" w:themeColor="text1"/>
        </w:rPr>
        <w:t xml:space="preserve"> </w:t>
      </w:r>
    </w:p>
    <w:p w14:paraId="4FEA1C81" w14:textId="2467CA9B" w:rsidR="002C0E6B" w:rsidRPr="00BB36A5" w:rsidRDefault="0058431C" w:rsidP="00342E9E">
      <w:pPr>
        <w:pStyle w:val="Default"/>
        <w:numPr>
          <w:ilvl w:val="1"/>
          <w:numId w:val="1"/>
        </w:numPr>
        <w:ind w:left="72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Otros elementos a medida que el DEPR entienda</w:t>
      </w:r>
    </w:p>
    <w:p w14:paraId="520AB1A2" w14:textId="77777777" w:rsidR="005B6D9D" w:rsidRPr="00BB36A5" w:rsidRDefault="005B6D9D" w:rsidP="005B6D9D">
      <w:pPr>
        <w:ind w:left="360"/>
        <w:rPr>
          <w:rFonts w:asciiTheme="majorHAnsi" w:hAnsiTheme="majorHAnsi" w:cstheme="majorHAnsi"/>
          <w:color w:val="000000" w:themeColor="text1"/>
          <w:lang w:val="es-PR"/>
        </w:rPr>
      </w:pPr>
    </w:p>
    <w:p w14:paraId="0048B130" w14:textId="01FC95C7" w:rsidR="005B6D9D" w:rsidRPr="00BB36A5" w:rsidRDefault="005B6D9D" w:rsidP="005B6D9D">
      <w:pPr>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Las escuelas que reciben la mayor cantidad de ayuda en fondos y las recomendadas para visitas fueron seleccionadas por la Región. *Consulte el documento adjunto "Análisis de Escuelas de Monitoreo del DEPR", el cual describe la base del proceso de selección de monitoreo.  </w:t>
      </w:r>
    </w:p>
    <w:p w14:paraId="7063DEF2" w14:textId="426CD79C" w:rsidR="005B6D9D" w:rsidRPr="00BB36A5" w:rsidRDefault="005B6D9D" w:rsidP="005B6D9D">
      <w:pPr>
        <w:ind w:left="360"/>
        <w:rPr>
          <w:rFonts w:asciiTheme="majorHAnsi" w:hAnsiTheme="majorHAnsi" w:cstheme="majorHAnsi"/>
          <w:color w:val="000000" w:themeColor="text1"/>
          <w:lang w:val="es-PR"/>
        </w:rPr>
      </w:pPr>
    </w:p>
    <w:tbl>
      <w:tblPr>
        <w:tblStyle w:val="TableGrid"/>
        <w:tblW w:w="7735" w:type="dxa"/>
        <w:tblInd w:w="607" w:type="dxa"/>
        <w:tblLook w:val="04A0" w:firstRow="1" w:lastRow="0" w:firstColumn="1" w:lastColumn="0" w:noHBand="0" w:noVBand="1"/>
      </w:tblPr>
      <w:tblGrid>
        <w:gridCol w:w="895"/>
        <w:gridCol w:w="1009"/>
        <w:gridCol w:w="2951"/>
        <w:gridCol w:w="1440"/>
        <w:gridCol w:w="1440"/>
      </w:tblGrid>
      <w:tr w:rsidR="00446B12" w:rsidRPr="00BB36A5" w14:paraId="2723C26B" w14:textId="77777777" w:rsidTr="008C6B72">
        <w:tc>
          <w:tcPr>
            <w:tcW w:w="895" w:type="dxa"/>
          </w:tcPr>
          <w:p w14:paraId="4758E371" w14:textId="77777777" w:rsidR="00446B12" w:rsidRPr="00BB36A5" w:rsidRDefault="00446B12" w:rsidP="008C6B72">
            <w:pPr>
              <w:jc w:val="center"/>
              <w:rPr>
                <w:rFonts w:asciiTheme="majorHAnsi" w:hAnsiTheme="majorHAnsi" w:cstheme="majorHAnsi"/>
              </w:rPr>
            </w:pPr>
            <w:r w:rsidRPr="00BB36A5">
              <w:rPr>
                <w:rFonts w:asciiTheme="majorHAnsi" w:hAnsiTheme="majorHAnsi" w:cstheme="majorHAnsi"/>
              </w:rPr>
              <w:t>Region</w:t>
            </w:r>
          </w:p>
        </w:tc>
        <w:tc>
          <w:tcPr>
            <w:tcW w:w="1009" w:type="dxa"/>
            <w:tcBorders>
              <w:bottom w:val="single" w:sz="4" w:space="0" w:color="auto"/>
            </w:tcBorders>
          </w:tcPr>
          <w:p w14:paraId="381A46B6" w14:textId="77777777" w:rsidR="00446B12" w:rsidRPr="00BB36A5" w:rsidRDefault="00446B12" w:rsidP="008C6B72">
            <w:pPr>
              <w:jc w:val="center"/>
              <w:rPr>
                <w:rFonts w:asciiTheme="majorHAnsi" w:hAnsiTheme="majorHAnsi" w:cstheme="majorHAnsi"/>
              </w:rPr>
            </w:pPr>
            <w:r w:rsidRPr="00BB36A5">
              <w:rPr>
                <w:rFonts w:asciiTheme="majorHAnsi" w:hAnsiTheme="majorHAnsi" w:cstheme="majorHAnsi"/>
              </w:rPr>
              <w:t>Code</w:t>
            </w:r>
          </w:p>
        </w:tc>
        <w:tc>
          <w:tcPr>
            <w:tcW w:w="2951" w:type="dxa"/>
            <w:tcBorders>
              <w:bottom w:val="single" w:sz="4" w:space="0" w:color="auto"/>
            </w:tcBorders>
          </w:tcPr>
          <w:p w14:paraId="631773BB" w14:textId="77777777" w:rsidR="00446B12" w:rsidRPr="00BB36A5" w:rsidRDefault="00446B12" w:rsidP="008C6B72">
            <w:pPr>
              <w:jc w:val="center"/>
              <w:rPr>
                <w:rFonts w:asciiTheme="majorHAnsi" w:hAnsiTheme="majorHAnsi" w:cstheme="majorHAnsi"/>
              </w:rPr>
            </w:pPr>
            <w:r w:rsidRPr="00BB36A5">
              <w:rPr>
                <w:rFonts w:asciiTheme="majorHAnsi" w:hAnsiTheme="majorHAnsi" w:cstheme="majorHAnsi"/>
              </w:rPr>
              <w:t>School</w:t>
            </w:r>
          </w:p>
        </w:tc>
        <w:tc>
          <w:tcPr>
            <w:tcW w:w="1440" w:type="dxa"/>
            <w:tcBorders>
              <w:bottom w:val="single" w:sz="4" w:space="0" w:color="auto"/>
            </w:tcBorders>
          </w:tcPr>
          <w:p w14:paraId="15BFAEF1" w14:textId="77777777" w:rsidR="00446B12" w:rsidRPr="00BB36A5" w:rsidRDefault="00446B12" w:rsidP="008C6B72">
            <w:pPr>
              <w:jc w:val="center"/>
              <w:rPr>
                <w:rFonts w:asciiTheme="majorHAnsi" w:hAnsiTheme="majorHAnsi" w:cstheme="majorHAnsi"/>
              </w:rPr>
            </w:pPr>
            <w:r w:rsidRPr="00BB36A5">
              <w:rPr>
                <w:rFonts w:asciiTheme="majorHAnsi" w:hAnsiTheme="majorHAnsi" w:cstheme="majorHAnsi"/>
              </w:rPr>
              <w:t>Level</w:t>
            </w:r>
          </w:p>
        </w:tc>
        <w:tc>
          <w:tcPr>
            <w:tcW w:w="1440" w:type="dxa"/>
            <w:tcBorders>
              <w:bottom w:val="single" w:sz="4" w:space="0" w:color="auto"/>
            </w:tcBorders>
          </w:tcPr>
          <w:p w14:paraId="75A71D81" w14:textId="77777777" w:rsidR="00446B12" w:rsidRPr="00BB36A5" w:rsidRDefault="00446B12" w:rsidP="008C6B72">
            <w:pPr>
              <w:jc w:val="center"/>
              <w:rPr>
                <w:rFonts w:asciiTheme="majorHAnsi" w:hAnsiTheme="majorHAnsi" w:cstheme="majorHAnsi"/>
              </w:rPr>
            </w:pPr>
            <w:r w:rsidRPr="00BB36A5">
              <w:rPr>
                <w:rFonts w:asciiTheme="majorHAnsi" w:hAnsiTheme="majorHAnsi" w:cstheme="majorHAnsi"/>
              </w:rPr>
              <w:t>Funds</w:t>
            </w:r>
          </w:p>
        </w:tc>
      </w:tr>
      <w:tr w:rsidR="00446B12" w:rsidRPr="00BB36A5" w14:paraId="357A14BA" w14:textId="77777777" w:rsidTr="008C6B72">
        <w:tc>
          <w:tcPr>
            <w:tcW w:w="895" w:type="dxa"/>
            <w:vMerge w:val="restart"/>
            <w:textDirection w:val="btLr"/>
            <w:vAlign w:val="center"/>
          </w:tcPr>
          <w:p w14:paraId="21E653B9"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Are</w:t>
            </w:r>
          </w:p>
        </w:tc>
        <w:tc>
          <w:tcPr>
            <w:tcW w:w="1009" w:type="dxa"/>
            <w:tcBorders>
              <w:bottom w:val="dashSmallGap" w:sz="4" w:space="0" w:color="auto"/>
            </w:tcBorders>
            <w:vAlign w:val="bottom"/>
          </w:tcPr>
          <w:p w14:paraId="1C26935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17558</w:t>
            </w:r>
          </w:p>
        </w:tc>
        <w:tc>
          <w:tcPr>
            <w:tcW w:w="2951" w:type="dxa"/>
            <w:tcBorders>
              <w:bottom w:val="dashSmallGap" w:sz="4" w:space="0" w:color="auto"/>
            </w:tcBorders>
            <w:vAlign w:val="bottom"/>
          </w:tcPr>
          <w:p w14:paraId="0EEE12E5"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SUPERIOR VOCACIONAL</w:t>
            </w:r>
          </w:p>
        </w:tc>
        <w:tc>
          <w:tcPr>
            <w:tcW w:w="1440" w:type="dxa"/>
            <w:tcBorders>
              <w:bottom w:val="dashSmallGap" w:sz="4" w:space="0" w:color="auto"/>
            </w:tcBorders>
            <w:vAlign w:val="bottom"/>
          </w:tcPr>
          <w:p w14:paraId="5E57A2D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SECONDARY</w:t>
            </w:r>
          </w:p>
        </w:tc>
        <w:tc>
          <w:tcPr>
            <w:tcW w:w="1440" w:type="dxa"/>
            <w:tcBorders>
              <w:bottom w:val="dashSmallGap" w:sz="4" w:space="0" w:color="auto"/>
            </w:tcBorders>
            <w:vAlign w:val="bottom"/>
          </w:tcPr>
          <w:p w14:paraId="630E4501"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304,661.41</w:t>
            </w:r>
          </w:p>
        </w:tc>
      </w:tr>
      <w:tr w:rsidR="00446B12" w:rsidRPr="00BB36A5" w14:paraId="0B91FD54" w14:textId="77777777" w:rsidTr="008C6B72">
        <w:tc>
          <w:tcPr>
            <w:tcW w:w="895" w:type="dxa"/>
            <w:vMerge/>
            <w:vAlign w:val="center"/>
          </w:tcPr>
          <w:p w14:paraId="2779E37C"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0A18E391"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13912</w:t>
            </w:r>
          </w:p>
        </w:tc>
        <w:tc>
          <w:tcPr>
            <w:tcW w:w="2951" w:type="dxa"/>
            <w:tcBorders>
              <w:top w:val="dashSmallGap" w:sz="4" w:space="0" w:color="auto"/>
              <w:bottom w:val="dashSmallGap" w:sz="4" w:space="0" w:color="auto"/>
            </w:tcBorders>
            <w:vAlign w:val="bottom"/>
          </w:tcPr>
          <w:p w14:paraId="77DEEB25"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BRIGIDA ALVAREZ RODRIGZ</w:t>
            </w:r>
          </w:p>
        </w:tc>
        <w:tc>
          <w:tcPr>
            <w:tcW w:w="1440" w:type="dxa"/>
            <w:tcBorders>
              <w:top w:val="dashSmallGap" w:sz="4" w:space="0" w:color="auto"/>
              <w:bottom w:val="dashSmallGap" w:sz="4" w:space="0" w:color="auto"/>
            </w:tcBorders>
            <w:vAlign w:val="bottom"/>
          </w:tcPr>
          <w:p w14:paraId="3DEFD07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dashSmallGap" w:sz="4" w:space="0" w:color="auto"/>
            </w:tcBorders>
            <w:vAlign w:val="bottom"/>
          </w:tcPr>
          <w:p w14:paraId="341E5AE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286,521.97</w:t>
            </w:r>
          </w:p>
        </w:tc>
      </w:tr>
      <w:tr w:rsidR="00446B12" w:rsidRPr="00BB36A5" w14:paraId="3DBFA099" w14:textId="77777777" w:rsidTr="008C6B72">
        <w:tc>
          <w:tcPr>
            <w:tcW w:w="895" w:type="dxa"/>
            <w:vMerge/>
            <w:vAlign w:val="center"/>
          </w:tcPr>
          <w:p w14:paraId="7AB035D6"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vAlign w:val="bottom"/>
          </w:tcPr>
          <w:p w14:paraId="550E4708"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14241</w:t>
            </w:r>
          </w:p>
        </w:tc>
        <w:tc>
          <w:tcPr>
            <w:tcW w:w="2951" w:type="dxa"/>
            <w:tcBorders>
              <w:top w:val="dashSmallGap" w:sz="4" w:space="0" w:color="auto"/>
              <w:bottom w:val="single" w:sz="4" w:space="0" w:color="auto"/>
            </w:tcBorders>
            <w:vAlign w:val="bottom"/>
          </w:tcPr>
          <w:p w14:paraId="1FC7D427"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TRINA PADILLA DE SANZ</w:t>
            </w:r>
          </w:p>
        </w:tc>
        <w:tc>
          <w:tcPr>
            <w:tcW w:w="1440" w:type="dxa"/>
            <w:tcBorders>
              <w:top w:val="dashSmallGap" w:sz="4" w:space="0" w:color="auto"/>
              <w:bottom w:val="single" w:sz="4" w:space="0" w:color="auto"/>
            </w:tcBorders>
            <w:vAlign w:val="bottom"/>
          </w:tcPr>
          <w:p w14:paraId="50229244"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single" w:sz="4" w:space="0" w:color="auto"/>
            </w:tcBorders>
            <w:vAlign w:val="bottom"/>
          </w:tcPr>
          <w:p w14:paraId="59521A1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262,920.06</w:t>
            </w:r>
          </w:p>
        </w:tc>
      </w:tr>
      <w:tr w:rsidR="00446B12" w:rsidRPr="00BB36A5" w14:paraId="43A35E86" w14:textId="77777777" w:rsidTr="008C6B72">
        <w:tc>
          <w:tcPr>
            <w:tcW w:w="895" w:type="dxa"/>
            <w:vMerge w:val="restart"/>
            <w:textDirection w:val="btLr"/>
            <w:vAlign w:val="center"/>
          </w:tcPr>
          <w:p w14:paraId="7B80E8EB"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Bay</w:t>
            </w:r>
          </w:p>
        </w:tc>
        <w:tc>
          <w:tcPr>
            <w:tcW w:w="1009" w:type="dxa"/>
            <w:tcBorders>
              <w:bottom w:val="dashSmallGap" w:sz="4" w:space="0" w:color="auto"/>
            </w:tcBorders>
            <w:vAlign w:val="bottom"/>
          </w:tcPr>
          <w:p w14:paraId="1B746953"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71381</w:t>
            </w:r>
          </w:p>
        </w:tc>
        <w:tc>
          <w:tcPr>
            <w:tcW w:w="2951" w:type="dxa"/>
            <w:tcBorders>
              <w:bottom w:val="dashSmallGap" w:sz="4" w:space="0" w:color="auto"/>
            </w:tcBorders>
            <w:vAlign w:val="bottom"/>
          </w:tcPr>
          <w:p w14:paraId="5BF942A2"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NICOLAS SEVILLA</w:t>
            </w:r>
          </w:p>
        </w:tc>
        <w:tc>
          <w:tcPr>
            <w:tcW w:w="1440" w:type="dxa"/>
            <w:tcBorders>
              <w:bottom w:val="dashSmallGap" w:sz="4" w:space="0" w:color="auto"/>
            </w:tcBorders>
            <w:vAlign w:val="bottom"/>
          </w:tcPr>
          <w:p w14:paraId="047E2483"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SECONDARY</w:t>
            </w:r>
          </w:p>
        </w:tc>
        <w:tc>
          <w:tcPr>
            <w:tcW w:w="1440" w:type="dxa"/>
            <w:tcBorders>
              <w:bottom w:val="dashSmallGap" w:sz="4" w:space="0" w:color="auto"/>
            </w:tcBorders>
            <w:vAlign w:val="bottom"/>
          </w:tcPr>
          <w:p w14:paraId="764B5907"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251,691.16</w:t>
            </w:r>
          </w:p>
        </w:tc>
      </w:tr>
      <w:tr w:rsidR="00446B12" w:rsidRPr="00BB36A5" w14:paraId="5C8A1DBC" w14:textId="77777777" w:rsidTr="008C6B72">
        <w:tc>
          <w:tcPr>
            <w:tcW w:w="895" w:type="dxa"/>
            <w:vMerge/>
            <w:vAlign w:val="center"/>
          </w:tcPr>
          <w:p w14:paraId="6D6E139E"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32F3858B"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78857</w:t>
            </w:r>
          </w:p>
        </w:tc>
        <w:tc>
          <w:tcPr>
            <w:tcW w:w="2951" w:type="dxa"/>
            <w:tcBorders>
              <w:top w:val="dashSmallGap" w:sz="4" w:space="0" w:color="auto"/>
              <w:bottom w:val="dashSmallGap" w:sz="4" w:space="0" w:color="auto"/>
            </w:tcBorders>
            <w:vAlign w:val="bottom"/>
          </w:tcPr>
          <w:p w14:paraId="4356E3C3"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RUBEN RODRIGZ FIGUEROA</w:t>
            </w:r>
          </w:p>
        </w:tc>
        <w:tc>
          <w:tcPr>
            <w:tcW w:w="1440" w:type="dxa"/>
            <w:tcBorders>
              <w:top w:val="dashSmallGap" w:sz="4" w:space="0" w:color="auto"/>
              <w:bottom w:val="dashSmallGap" w:sz="4" w:space="0" w:color="auto"/>
            </w:tcBorders>
          </w:tcPr>
          <w:p w14:paraId="776C8781" w14:textId="77777777" w:rsidR="00446B12" w:rsidRPr="00BB36A5" w:rsidRDefault="00446B12" w:rsidP="008C6B72">
            <w:pPr>
              <w:rPr>
                <w:rFonts w:asciiTheme="majorHAnsi" w:hAnsiTheme="majorHAnsi" w:cstheme="majorHAnsi"/>
              </w:rPr>
            </w:pPr>
            <w:r w:rsidRPr="00BB36A5">
              <w:rPr>
                <w:rFonts w:asciiTheme="majorHAnsi" w:eastAsia="Times New Roman" w:hAnsiTheme="majorHAnsi" w:cstheme="majorHAnsi"/>
                <w:color w:val="000000"/>
              </w:rPr>
              <w:t>SECONDARY</w:t>
            </w:r>
          </w:p>
        </w:tc>
        <w:tc>
          <w:tcPr>
            <w:tcW w:w="1440" w:type="dxa"/>
            <w:tcBorders>
              <w:top w:val="dashSmallGap" w:sz="4" w:space="0" w:color="auto"/>
              <w:bottom w:val="dashSmallGap" w:sz="4" w:space="0" w:color="auto"/>
            </w:tcBorders>
            <w:vAlign w:val="bottom"/>
          </w:tcPr>
          <w:p w14:paraId="19974DA3"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233,815.28</w:t>
            </w:r>
          </w:p>
        </w:tc>
      </w:tr>
      <w:tr w:rsidR="00446B12" w:rsidRPr="00BB36A5" w14:paraId="4584E2DF" w14:textId="77777777" w:rsidTr="008C6B72">
        <w:tc>
          <w:tcPr>
            <w:tcW w:w="895" w:type="dxa"/>
            <w:vMerge/>
            <w:vAlign w:val="center"/>
          </w:tcPr>
          <w:p w14:paraId="39A3A5FD"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vAlign w:val="bottom"/>
          </w:tcPr>
          <w:p w14:paraId="5623BBF1"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70813</w:t>
            </w:r>
          </w:p>
        </w:tc>
        <w:tc>
          <w:tcPr>
            <w:tcW w:w="2951" w:type="dxa"/>
            <w:tcBorders>
              <w:top w:val="dashSmallGap" w:sz="4" w:space="0" w:color="auto"/>
              <w:bottom w:val="single" w:sz="4" w:space="0" w:color="auto"/>
            </w:tcBorders>
            <w:vAlign w:val="bottom"/>
          </w:tcPr>
          <w:p w14:paraId="33EDEF02"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FRANCISCO OLLER</w:t>
            </w:r>
          </w:p>
        </w:tc>
        <w:tc>
          <w:tcPr>
            <w:tcW w:w="1440" w:type="dxa"/>
            <w:tcBorders>
              <w:top w:val="dashSmallGap" w:sz="4" w:space="0" w:color="auto"/>
              <w:bottom w:val="single" w:sz="4" w:space="0" w:color="auto"/>
            </w:tcBorders>
          </w:tcPr>
          <w:p w14:paraId="49F6ED21" w14:textId="77777777" w:rsidR="00446B12" w:rsidRPr="00BB36A5" w:rsidRDefault="00446B12" w:rsidP="008C6B72">
            <w:pPr>
              <w:rPr>
                <w:rFonts w:asciiTheme="majorHAnsi" w:hAnsiTheme="majorHAnsi" w:cstheme="majorHAnsi"/>
              </w:rPr>
            </w:pPr>
            <w:r w:rsidRPr="00BB36A5">
              <w:rPr>
                <w:rFonts w:asciiTheme="majorHAnsi" w:eastAsia="Times New Roman" w:hAnsiTheme="majorHAnsi" w:cstheme="majorHAnsi"/>
                <w:color w:val="000000"/>
              </w:rPr>
              <w:t>SECONDARY</w:t>
            </w:r>
          </w:p>
        </w:tc>
        <w:tc>
          <w:tcPr>
            <w:tcW w:w="1440" w:type="dxa"/>
            <w:tcBorders>
              <w:top w:val="dashSmallGap" w:sz="4" w:space="0" w:color="auto"/>
              <w:bottom w:val="single" w:sz="4" w:space="0" w:color="auto"/>
            </w:tcBorders>
            <w:vAlign w:val="bottom"/>
          </w:tcPr>
          <w:p w14:paraId="20F3D6D1"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228,348.13</w:t>
            </w:r>
          </w:p>
        </w:tc>
      </w:tr>
      <w:tr w:rsidR="00446B12" w:rsidRPr="00BB36A5" w14:paraId="5B1C0E53" w14:textId="77777777" w:rsidTr="008C6B72">
        <w:tc>
          <w:tcPr>
            <w:tcW w:w="895" w:type="dxa"/>
            <w:vMerge w:val="restart"/>
            <w:textDirection w:val="btLr"/>
            <w:vAlign w:val="center"/>
          </w:tcPr>
          <w:p w14:paraId="160061C7"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Cag</w:t>
            </w:r>
          </w:p>
        </w:tc>
        <w:tc>
          <w:tcPr>
            <w:tcW w:w="1009" w:type="dxa"/>
            <w:tcBorders>
              <w:bottom w:val="dashSmallGap" w:sz="4" w:space="0" w:color="auto"/>
            </w:tcBorders>
            <w:vAlign w:val="bottom"/>
          </w:tcPr>
          <w:p w14:paraId="27B3BDD3"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57281</w:t>
            </w:r>
          </w:p>
        </w:tc>
        <w:tc>
          <w:tcPr>
            <w:tcW w:w="2951" w:type="dxa"/>
            <w:tcBorders>
              <w:bottom w:val="dashSmallGap" w:sz="4" w:space="0" w:color="auto"/>
            </w:tcBorders>
            <w:vAlign w:val="bottom"/>
          </w:tcPr>
          <w:p w14:paraId="358619C6"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EUGENIO GUERRA CRUZ</w:t>
            </w:r>
          </w:p>
        </w:tc>
        <w:tc>
          <w:tcPr>
            <w:tcW w:w="1440" w:type="dxa"/>
            <w:tcBorders>
              <w:bottom w:val="dashSmallGap" w:sz="4" w:space="0" w:color="auto"/>
            </w:tcBorders>
            <w:vAlign w:val="bottom"/>
          </w:tcPr>
          <w:p w14:paraId="74979DC3" w14:textId="7DDF353E"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9C6F22" w:rsidRPr="00BB36A5">
              <w:rPr>
                <w:rFonts w:asciiTheme="majorHAnsi" w:eastAsia="Times New Roman" w:hAnsiTheme="majorHAnsi" w:cstheme="majorHAnsi"/>
                <w:color w:val="000000"/>
              </w:rPr>
              <w:t>Y</w:t>
            </w:r>
          </w:p>
        </w:tc>
        <w:tc>
          <w:tcPr>
            <w:tcW w:w="1440" w:type="dxa"/>
            <w:tcBorders>
              <w:bottom w:val="dashSmallGap" w:sz="4" w:space="0" w:color="auto"/>
            </w:tcBorders>
            <w:vAlign w:val="bottom"/>
          </w:tcPr>
          <w:p w14:paraId="778C441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266,910.05</w:t>
            </w:r>
          </w:p>
        </w:tc>
      </w:tr>
      <w:tr w:rsidR="00446B12" w:rsidRPr="00BB36A5" w14:paraId="6289FD85" w14:textId="77777777" w:rsidTr="008C6B72">
        <w:tc>
          <w:tcPr>
            <w:tcW w:w="895" w:type="dxa"/>
            <w:vMerge/>
            <w:vAlign w:val="center"/>
          </w:tcPr>
          <w:p w14:paraId="5E5E7160"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683046F1"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28571</w:t>
            </w:r>
          </w:p>
        </w:tc>
        <w:tc>
          <w:tcPr>
            <w:tcW w:w="2951" w:type="dxa"/>
            <w:tcBorders>
              <w:top w:val="dashSmallGap" w:sz="4" w:space="0" w:color="auto"/>
              <w:bottom w:val="dashSmallGap" w:sz="4" w:space="0" w:color="auto"/>
            </w:tcBorders>
            <w:vAlign w:val="bottom"/>
          </w:tcPr>
          <w:p w14:paraId="1F1E67F1"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SUPERIOR URBANA</w:t>
            </w:r>
          </w:p>
        </w:tc>
        <w:tc>
          <w:tcPr>
            <w:tcW w:w="1440" w:type="dxa"/>
            <w:tcBorders>
              <w:top w:val="dashSmallGap" w:sz="4" w:space="0" w:color="auto"/>
              <w:bottom w:val="dashSmallGap" w:sz="4" w:space="0" w:color="auto"/>
            </w:tcBorders>
            <w:vAlign w:val="bottom"/>
          </w:tcPr>
          <w:p w14:paraId="6C863A9A" w14:textId="27564EC0"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w:t>
            </w:r>
            <w:r w:rsidR="009C6F22" w:rsidRPr="00BB36A5">
              <w:rPr>
                <w:rFonts w:asciiTheme="majorHAnsi" w:eastAsia="Times New Roman" w:hAnsiTheme="majorHAnsi" w:cstheme="majorHAnsi"/>
                <w:color w:val="000000"/>
              </w:rPr>
              <w:t>ARY</w:t>
            </w:r>
          </w:p>
        </w:tc>
        <w:tc>
          <w:tcPr>
            <w:tcW w:w="1440" w:type="dxa"/>
            <w:tcBorders>
              <w:top w:val="dashSmallGap" w:sz="4" w:space="0" w:color="auto"/>
              <w:bottom w:val="dashSmallGap" w:sz="4" w:space="0" w:color="auto"/>
            </w:tcBorders>
            <w:vAlign w:val="bottom"/>
          </w:tcPr>
          <w:p w14:paraId="74830CAB"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239,022.87</w:t>
            </w:r>
          </w:p>
        </w:tc>
      </w:tr>
      <w:tr w:rsidR="00446B12" w:rsidRPr="00BB36A5" w14:paraId="1D2161BB" w14:textId="77777777" w:rsidTr="008C6B72">
        <w:tc>
          <w:tcPr>
            <w:tcW w:w="895" w:type="dxa"/>
            <w:vMerge/>
            <w:vAlign w:val="center"/>
          </w:tcPr>
          <w:p w14:paraId="62CFCBD4"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58CB6F29"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20255</w:t>
            </w:r>
          </w:p>
        </w:tc>
        <w:tc>
          <w:tcPr>
            <w:tcW w:w="2951" w:type="dxa"/>
            <w:tcBorders>
              <w:top w:val="dashSmallGap" w:sz="4" w:space="0" w:color="auto"/>
              <w:bottom w:val="dashSmallGap" w:sz="4" w:space="0" w:color="auto"/>
            </w:tcBorders>
            <w:vAlign w:val="bottom"/>
          </w:tcPr>
          <w:p w14:paraId="0F746E5C"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RAFAEL PONT FLORES</w:t>
            </w:r>
          </w:p>
        </w:tc>
        <w:tc>
          <w:tcPr>
            <w:tcW w:w="1440" w:type="dxa"/>
            <w:tcBorders>
              <w:top w:val="dashSmallGap" w:sz="4" w:space="0" w:color="auto"/>
              <w:bottom w:val="dashSmallGap" w:sz="4" w:space="0" w:color="auto"/>
            </w:tcBorders>
            <w:vAlign w:val="bottom"/>
          </w:tcPr>
          <w:p w14:paraId="00BA7992" w14:textId="2A7F215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w:t>
            </w:r>
            <w:r w:rsidR="009C6F22" w:rsidRPr="00BB36A5">
              <w:rPr>
                <w:rFonts w:asciiTheme="majorHAnsi" w:eastAsia="Times New Roman" w:hAnsiTheme="majorHAnsi" w:cstheme="majorHAnsi"/>
                <w:color w:val="000000"/>
              </w:rPr>
              <w:t>RY</w:t>
            </w:r>
          </w:p>
        </w:tc>
        <w:tc>
          <w:tcPr>
            <w:tcW w:w="1440" w:type="dxa"/>
            <w:tcBorders>
              <w:top w:val="dashSmallGap" w:sz="4" w:space="0" w:color="auto"/>
              <w:bottom w:val="dashSmallGap" w:sz="4" w:space="0" w:color="auto"/>
            </w:tcBorders>
            <w:vAlign w:val="bottom"/>
          </w:tcPr>
          <w:p w14:paraId="0CD687B8"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226,221.40</w:t>
            </w:r>
          </w:p>
        </w:tc>
      </w:tr>
      <w:tr w:rsidR="00446B12" w:rsidRPr="00BB36A5" w14:paraId="073BB80F" w14:textId="77777777" w:rsidTr="008C6B72">
        <w:tc>
          <w:tcPr>
            <w:tcW w:w="895" w:type="dxa"/>
            <w:vMerge/>
            <w:vAlign w:val="center"/>
          </w:tcPr>
          <w:p w14:paraId="24AF17A4"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vAlign w:val="bottom"/>
          </w:tcPr>
          <w:p w14:paraId="6C2AC275"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26021</w:t>
            </w:r>
          </w:p>
        </w:tc>
        <w:tc>
          <w:tcPr>
            <w:tcW w:w="2951" w:type="dxa"/>
            <w:tcBorders>
              <w:top w:val="dashSmallGap" w:sz="4" w:space="0" w:color="auto"/>
              <w:bottom w:val="single" w:sz="4" w:space="0" w:color="auto"/>
            </w:tcBorders>
            <w:vAlign w:val="bottom"/>
          </w:tcPr>
          <w:p w14:paraId="3F72FCD3"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LUIS MUÑOZ MARIN</w:t>
            </w:r>
          </w:p>
        </w:tc>
        <w:tc>
          <w:tcPr>
            <w:tcW w:w="1440" w:type="dxa"/>
            <w:tcBorders>
              <w:top w:val="dashSmallGap" w:sz="4" w:space="0" w:color="auto"/>
              <w:bottom w:val="single" w:sz="4" w:space="0" w:color="auto"/>
            </w:tcBorders>
            <w:vAlign w:val="bottom"/>
          </w:tcPr>
          <w:p w14:paraId="395A05B1" w14:textId="427D80B1"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9C6F22" w:rsidRPr="00BB36A5">
              <w:rPr>
                <w:rFonts w:asciiTheme="majorHAnsi" w:eastAsia="Times New Roman" w:hAnsiTheme="majorHAnsi" w:cstheme="majorHAnsi"/>
                <w:color w:val="000000"/>
              </w:rPr>
              <w:t>Y</w:t>
            </w:r>
          </w:p>
        </w:tc>
        <w:tc>
          <w:tcPr>
            <w:tcW w:w="1440" w:type="dxa"/>
            <w:tcBorders>
              <w:top w:val="dashSmallGap" w:sz="4" w:space="0" w:color="auto"/>
              <w:bottom w:val="single" w:sz="4" w:space="0" w:color="auto"/>
            </w:tcBorders>
            <w:vAlign w:val="bottom"/>
          </w:tcPr>
          <w:p w14:paraId="4D99256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226,079.65</w:t>
            </w:r>
          </w:p>
        </w:tc>
      </w:tr>
      <w:tr w:rsidR="00446B12" w:rsidRPr="00BB36A5" w14:paraId="4B0E446E" w14:textId="77777777" w:rsidTr="008C6B72">
        <w:tc>
          <w:tcPr>
            <w:tcW w:w="895" w:type="dxa"/>
            <w:vMerge w:val="restart"/>
            <w:textDirection w:val="btLr"/>
            <w:vAlign w:val="center"/>
          </w:tcPr>
          <w:p w14:paraId="1910C54F"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Hum</w:t>
            </w:r>
          </w:p>
        </w:tc>
        <w:tc>
          <w:tcPr>
            <w:tcW w:w="1009" w:type="dxa"/>
            <w:tcBorders>
              <w:bottom w:val="dashSmallGap" w:sz="4" w:space="0" w:color="auto"/>
            </w:tcBorders>
            <w:vAlign w:val="bottom"/>
          </w:tcPr>
          <w:p w14:paraId="336E2178"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34785</w:t>
            </w:r>
          </w:p>
        </w:tc>
        <w:tc>
          <w:tcPr>
            <w:tcW w:w="2951" w:type="dxa"/>
            <w:tcBorders>
              <w:bottom w:val="dashSmallGap" w:sz="4" w:space="0" w:color="auto"/>
            </w:tcBorders>
            <w:vAlign w:val="bottom"/>
          </w:tcPr>
          <w:p w14:paraId="2306D429"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JOSE COLLAZO COLON</w:t>
            </w:r>
          </w:p>
        </w:tc>
        <w:tc>
          <w:tcPr>
            <w:tcW w:w="1440" w:type="dxa"/>
            <w:tcBorders>
              <w:bottom w:val="dashSmallGap" w:sz="4" w:space="0" w:color="auto"/>
            </w:tcBorders>
            <w:vAlign w:val="bottom"/>
          </w:tcPr>
          <w:p w14:paraId="5805DB05" w14:textId="18B599A8"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9C6F22" w:rsidRPr="00BB36A5">
              <w:rPr>
                <w:rFonts w:asciiTheme="majorHAnsi" w:eastAsia="Times New Roman" w:hAnsiTheme="majorHAnsi" w:cstheme="majorHAnsi"/>
                <w:color w:val="000000"/>
              </w:rPr>
              <w:t>Y</w:t>
            </w:r>
          </w:p>
        </w:tc>
        <w:tc>
          <w:tcPr>
            <w:tcW w:w="1440" w:type="dxa"/>
            <w:tcBorders>
              <w:bottom w:val="dashSmallGap" w:sz="4" w:space="0" w:color="auto"/>
            </w:tcBorders>
            <w:vAlign w:val="bottom"/>
          </w:tcPr>
          <w:p w14:paraId="73B03C8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251,714.87</w:t>
            </w:r>
          </w:p>
        </w:tc>
      </w:tr>
      <w:tr w:rsidR="00446B12" w:rsidRPr="00BB36A5" w14:paraId="72283F1E" w14:textId="77777777" w:rsidTr="008C6B72">
        <w:tc>
          <w:tcPr>
            <w:tcW w:w="895" w:type="dxa"/>
            <w:vMerge/>
            <w:vAlign w:val="center"/>
          </w:tcPr>
          <w:p w14:paraId="7D641DE1"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04DB2C7D"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30973</w:t>
            </w:r>
          </w:p>
        </w:tc>
        <w:tc>
          <w:tcPr>
            <w:tcW w:w="2951" w:type="dxa"/>
            <w:tcBorders>
              <w:top w:val="dashSmallGap" w:sz="4" w:space="0" w:color="auto"/>
              <w:bottom w:val="dashSmallGap" w:sz="4" w:space="0" w:color="auto"/>
            </w:tcBorders>
            <w:vAlign w:val="bottom"/>
          </w:tcPr>
          <w:p w14:paraId="674672AD"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RAMON POWER Y GIRALT</w:t>
            </w:r>
          </w:p>
        </w:tc>
        <w:tc>
          <w:tcPr>
            <w:tcW w:w="1440" w:type="dxa"/>
            <w:tcBorders>
              <w:top w:val="dashSmallGap" w:sz="4" w:space="0" w:color="auto"/>
              <w:bottom w:val="dashSmallGap" w:sz="4" w:space="0" w:color="auto"/>
            </w:tcBorders>
            <w:vAlign w:val="bottom"/>
          </w:tcPr>
          <w:p w14:paraId="14AA4AB1" w14:textId="5CF3E37C"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9C6F22" w:rsidRPr="00BB36A5">
              <w:rPr>
                <w:rFonts w:asciiTheme="majorHAnsi" w:eastAsia="Times New Roman" w:hAnsiTheme="majorHAnsi" w:cstheme="majorHAnsi"/>
                <w:color w:val="000000"/>
              </w:rPr>
              <w:t>Y</w:t>
            </w:r>
          </w:p>
        </w:tc>
        <w:tc>
          <w:tcPr>
            <w:tcW w:w="1440" w:type="dxa"/>
            <w:tcBorders>
              <w:top w:val="dashSmallGap" w:sz="4" w:space="0" w:color="auto"/>
              <w:bottom w:val="dashSmallGap" w:sz="4" w:space="0" w:color="auto"/>
            </w:tcBorders>
            <w:vAlign w:val="bottom"/>
          </w:tcPr>
          <w:p w14:paraId="640014BB"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243,775.28</w:t>
            </w:r>
          </w:p>
        </w:tc>
      </w:tr>
      <w:tr w:rsidR="00446B12" w:rsidRPr="00BB36A5" w14:paraId="4FE43654" w14:textId="77777777" w:rsidTr="008C6B72">
        <w:tc>
          <w:tcPr>
            <w:tcW w:w="895" w:type="dxa"/>
            <w:vMerge/>
            <w:vAlign w:val="center"/>
          </w:tcPr>
          <w:p w14:paraId="0D0A6567"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62E0CB8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30167</w:t>
            </w:r>
          </w:p>
        </w:tc>
        <w:tc>
          <w:tcPr>
            <w:tcW w:w="2951" w:type="dxa"/>
            <w:tcBorders>
              <w:top w:val="dashSmallGap" w:sz="4" w:space="0" w:color="auto"/>
              <w:bottom w:val="dashSmallGap" w:sz="4" w:space="0" w:color="auto"/>
            </w:tcBorders>
            <w:vAlign w:val="bottom"/>
          </w:tcPr>
          <w:p w14:paraId="64EBD859"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lang w:val="es-PR"/>
              </w:rPr>
            </w:pPr>
            <w:r w:rsidRPr="00BB36A5">
              <w:rPr>
                <w:rFonts w:asciiTheme="majorHAnsi" w:eastAsia="Times New Roman" w:hAnsiTheme="majorHAnsi" w:cstheme="majorHAnsi"/>
                <w:color w:val="000000"/>
                <w:lang w:val="es-PR"/>
              </w:rPr>
              <w:t>CROEC</w:t>
            </w:r>
          </w:p>
        </w:tc>
        <w:tc>
          <w:tcPr>
            <w:tcW w:w="1440" w:type="dxa"/>
            <w:tcBorders>
              <w:top w:val="dashSmallGap" w:sz="4" w:space="0" w:color="auto"/>
              <w:bottom w:val="dashSmallGap" w:sz="4" w:space="0" w:color="auto"/>
            </w:tcBorders>
            <w:vAlign w:val="bottom"/>
          </w:tcPr>
          <w:p w14:paraId="46D7A8EC" w14:textId="4E5F75B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9C6F22" w:rsidRPr="00BB36A5">
              <w:rPr>
                <w:rFonts w:asciiTheme="majorHAnsi" w:eastAsia="Times New Roman" w:hAnsiTheme="majorHAnsi" w:cstheme="majorHAnsi"/>
                <w:color w:val="000000"/>
              </w:rPr>
              <w:t>Y</w:t>
            </w:r>
          </w:p>
        </w:tc>
        <w:tc>
          <w:tcPr>
            <w:tcW w:w="1440" w:type="dxa"/>
            <w:tcBorders>
              <w:top w:val="dashSmallGap" w:sz="4" w:space="0" w:color="auto"/>
              <w:bottom w:val="dashSmallGap" w:sz="4" w:space="0" w:color="auto"/>
            </w:tcBorders>
            <w:vAlign w:val="bottom"/>
          </w:tcPr>
          <w:p w14:paraId="5A78305D"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241,815.24</w:t>
            </w:r>
          </w:p>
        </w:tc>
      </w:tr>
      <w:tr w:rsidR="00446B12" w:rsidRPr="00BB36A5" w14:paraId="1892EB59" w14:textId="77777777" w:rsidTr="008C6B72">
        <w:tc>
          <w:tcPr>
            <w:tcW w:w="895" w:type="dxa"/>
            <w:vMerge/>
            <w:vAlign w:val="center"/>
          </w:tcPr>
          <w:p w14:paraId="0105067E"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vAlign w:val="bottom"/>
          </w:tcPr>
          <w:p w14:paraId="38D6B84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35972</w:t>
            </w:r>
          </w:p>
        </w:tc>
        <w:tc>
          <w:tcPr>
            <w:tcW w:w="2951" w:type="dxa"/>
            <w:tcBorders>
              <w:top w:val="dashSmallGap" w:sz="4" w:space="0" w:color="auto"/>
              <w:bottom w:val="dashSmallGap" w:sz="4" w:space="0" w:color="auto"/>
            </w:tcBorders>
            <w:vAlign w:val="bottom"/>
          </w:tcPr>
          <w:p w14:paraId="206992CF"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JORGE ROSARIO DEL VALLE</w:t>
            </w:r>
          </w:p>
        </w:tc>
        <w:tc>
          <w:tcPr>
            <w:tcW w:w="1440" w:type="dxa"/>
            <w:tcBorders>
              <w:top w:val="dashSmallGap" w:sz="4" w:space="0" w:color="auto"/>
              <w:bottom w:val="dashSmallGap" w:sz="4" w:space="0" w:color="auto"/>
            </w:tcBorders>
            <w:vAlign w:val="bottom"/>
          </w:tcPr>
          <w:p w14:paraId="0D31C18E" w14:textId="520C06A4"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w:t>
            </w:r>
            <w:r w:rsidR="009C6F22" w:rsidRPr="00BB36A5">
              <w:rPr>
                <w:rFonts w:asciiTheme="majorHAnsi" w:eastAsia="Times New Roman" w:hAnsiTheme="majorHAnsi" w:cstheme="majorHAnsi"/>
                <w:color w:val="000000"/>
              </w:rPr>
              <w:t>RY</w:t>
            </w:r>
          </w:p>
        </w:tc>
        <w:tc>
          <w:tcPr>
            <w:tcW w:w="1440" w:type="dxa"/>
            <w:tcBorders>
              <w:top w:val="dashSmallGap" w:sz="4" w:space="0" w:color="auto"/>
              <w:bottom w:val="dashSmallGap" w:sz="4" w:space="0" w:color="auto"/>
            </w:tcBorders>
            <w:vAlign w:val="bottom"/>
          </w:tcPr>
          <w:p w14:paraId="48DB1A7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241,017.36</w:t>
            </w:r>
          </w:p>
        </w:tc>
      </w:tr>
      <w:tr w:rsidR="00446B12" w:rsidRPr="00BB36A5" w14:paraId="58921E26" w14:textId="77777777" w:rsidTr="008C6B72">
        <w:tc>
          <w:tcPr>
            <w:tcW w:w="895" w:type="dxa"/>
            <w:vMerge/>
            <w:vAlign w:val="center"/>
          </w:tcPr>
          <w:p w14:paraId="575B7DF0"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6BFB3A66"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31583</w:t>
            </w:r>
          </w:p>
        </w:tc>
        <w:tc>
          <w:tcPr>
            <w:tcW w:w="2951" w:type="dxa"/>
            <w:tcBorders>
              <w:top w:val="dashSmallGap" w:sz="4" w:space="0" w:color="auto"/>
              <w:bottom w:val="dashSmallGap" w:sz="4" w:space="0" w:color="auto"/>
            </w:tcBorders>
            <w:shd w:val="clear" w:color="auto" w:fill="auto"/>
            <w:vAlign w:val="bottom"/>
          </w:tcPr>
          <w:p w14:paraId="1FFC4F92"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LUTGARDA RIVERA REYES</w:t>
            </w:r>
          </w:p>
        </w:tc>
        <w:tc>
          <w:tcPr>
            <w:tcW w:w="1440" w:type="dxa"/>
            <w:tcBorders>
              <w:top w:val="dashSmallGap" w:sz="4" w:space="0" w:color="auto"/>
              <w:bottom w:val="dashSmallGap" w:sz="4" w:space="0" w:color="auto"/>
            </w:tcBorders>
            <w:shd w:val="clear" w:color="auto" w:fill="auto"/>
            <w:vAlign w:val="bottom"/>
          </w:tcPr>
          <w:p w14:paraId="2D8558E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PRIMARY</w:t>
            </w:r>
          </w:p>
        </w:tc>
        <w:tc>
          <w:tcPr>
            <w:tcW w:w="1440" w:type="dxa"/>
            <w:tcBorders>
              <w:top w:val="dashSmallGap" w:sz="4" w:space="0" w:color="auto"/>
              <w:bottom w:val="dashSmallGap" w:sz="4" w:space="0" w:color="auto"/>
            </w:tcBorders>
            <w:shd w:val="clear" w:color="auto" w:fill="auto"/>
            <w:vAlign w:val="bottom"/>
          </w:tcPr>
          <w:p w14:paraId="6FB0469E"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115,740.25</w:t>
            </w:r>
          </w:p>
        </w:tc>
      </w:tr>
      <w:tr w:rsidR="00446B12" w:rsidRPr="00BB36A5" w14:paraId="26F50C56" w14:textId="77777777" w:rsidTr="008C6B72">
        <w:tc>
          <w:tcPr>
            <w:tcW w:w="895" w:type="dxa"/>
            <w:vMerge/>
            <w:vAlign w:val="center"/>
          </w:tcPr>
          <w:p w14:paraId="789B704B"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7E2FDAF0"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36335</w:t>
            </w:r>
          </w:p>
        </w:tc>
        <w:tc>
          <w:tcPr>
            <w:tcW w:w="2951" w:type="dxa"/>
            <w:tcBorders>
              <w:top w:val="dashSmallGap" w:sz="4" w:space="0" w:color="auto"/>
              <w:bottom w:val="dashSmallGap" w:sz="4" w:space="0" w:color="auto"/>
            </w:tcBorders>
            <w:shd w:val="clear" w:color="auto" w:fill="auto"/>
            <w:vAlign w:val="bottom"/>
          </w:tcPr>
          <w:p w14:paraId="0CEF2665"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NUEVA SUPERIOR DE LOIZA</w:t>
            </w:r>
          </w:p>
        </w:tc>
        <w:tc>
          <w:tcPr>
            <w:tcW w:w="1440" w:type="dxa"/>
            <w:tcBorders>
              <w:top w:val="dashSmallGap" w:sz="4" w:space="0" w:color="auto"/>
              <w:bottom w:val="dashSmallGap" w:sz="4" w:space="0" w:color="auto"/>
            </w:tcBorders>
            <w:shd w:val="clear" w:color="auto" w:fill="auto"/>
            <w:vAlign w:val="bottom"/>
          </w:tcPr>
          <w:p w14:paraId="4DA0B83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SECONDARY</w:t>
            </w:r>
          </w:p>
        </w:tc>
        <w:tc>
          <w:tcPr>
            <w:tcW w:w="1440" w:type="dxa"/>
            <w:tcBorders>
              <w:top w:val="dashSmallGap" w:sz="4" w:space="0" w:color="auto"/>
              <w:bottom w:val="dashSmallGap" w:sz="4" w:space="0" w:color="auto"/>
            </w:tcBorders>
            <w:shd w:val="clear" w:color="auto" w:fill="auto"/>
            <w:vAlign w:val="bottom"/>
          </w:tcPr>
          <w:p w14:paraId="29C934A3"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172,217.59</w:t>
            </w:r>
          </w:p>
        </w:tc>
      </w:tr>
      <w:tr w:rsidR="00446B12" w:rsidRPr="00BB36A5" w14:paraId="13CCBD29" w14:textId="77777777" w:rsidTr="008C6B72">
        <w:tc>
          <w:tcPr>
            <w:tcW w:w="895" w:type="dxa"/>
            <w:vMerge/>
            <w:vAlign w:val="center"/>
          </w:tcPr>
          <w:p w14:paraId="21E6FEC9"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shd w:val="clear" w:color="auto" w:fill="auto"/>
            <w:vAlign w:val="bottom"/>
          </w:tcPr>
          <w:p w14:paraId="35C919B2"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33308</w:t>
            </w:r>
          </w:p>
        </w:tc>
        <w:tc>
          <w:tcPr>
            <w:tcW w:w="2951" w:type="dxa"/>
            <w:tcBorders>
              <w:top w:val="dashSmallGap" w:sz="4" w:space="0" w:color="auto"/>
              <w:bottom w:val="single" w:sz="4" w:space="0" w:color="auto"/>
            </w:tcBorders>
            <w:shd w:val="clear" w:color="auto" w:fill="auto"/>
            <w:vAlign w:val="bottom"/>
          </w:tcPr>
          <w:p w14:paraId="7EEB8FBC"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RUFINO VIGO</w:t>
            </w:r>
          </w:p>
        </w:tc>
        <w:tc>
          <w:tcPr>
            <w:tcW w:w="1440" w:type="dxa"/>
            <w:tcBorders>
              <w:top w:val="dashSmallGap" w:sz="4" w:space="0" w:color="auto"/>
              <w:bottom w:val="single" w:sz="4" w:space="0" w:color="auto"/>
            </w:tcBorders>
            <w:shd w:val="clear" w:color="auto" w:fill="auto"/>
            <w:vAlign w:val="bottom"/>
          </w:tcPr>
          <w:p w14:paraId="2DF629D7"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PRIMARY</w:t>
            </w:r>
          </w:p>
        </w:tc>
        <w:tc>
          <w:tcPr>
            <w:tcW w:w="1440" w:type="dxa"/>
            <w:tcBorders>
              <w:top w:val="dashSmallGap" w:sz="4" w:space="0" w:color="auto"/>
              <w:bottom w:val="single" w:sz="4" w:space="0" w:color="auto"/>
            </w:tcBorders>
            <w:shd w:val="clear" w:color="auto" w:fill="auto"/>
            <w:vAlign w:val="bottom"/>
          </w:tcPr>
          <w:p w14:paraId="57AFF16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104,824.64</w:t>
            </w:r>
          </w:p>
        </w:tc>
      </w:tr>
      <w:tr w:rsidR="00446B12" w:rsidRPr="00BB36A5" w14:paraId="4F528AD6" w14:textId="77777777" w:rsidTr="008C6B72">
        <w:tc>
          <w:tcPr>
            <w:tcW w:w="895" w:type="dxa"/>
            <w:vMerge w:val="restart"/>
            <w:textDirection w:val="btLr"/>
            <w:vAlign w:val="center"/>
          </w:tcPr>
          <w:p w14:paraId="30817EF9"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May</w:t>
            </w:r>
          </w:p>
        </w:tc>
        <w:tc>
          <w:tcPr>
            <w:tcW w:w="1009" w:type="dxa"/>
            <w:tcBorders>
              <w:bottom w:val="dashSmallGap" w:sz="4" w:space="0" w:color="auto"/>
            </w:tcBorders>
            <w:shd w:val="clear" w:color="auto" w:fill="auto"/>
            <w:vAlign w:val="bottom"/>
          </w:tcPr>
          <w:p w14:paraId="72F0EF52"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45310</w:t>
            </w:r>
          </w:p>
        </w:tc>
        <w:tc>
          <w:tcPr>
            <w:tcW w:w="2951" w:type="dxa"/>
            <w:tcBorders>
              <w:bottom w:val="dashSmallGap" w:sz="4" w:space="0" w:color="auto"/>
            </w:tcBorders>
            <w:shd w:val="clear" w:color="auto" w:fill="auto"/>
            <w:vAlign w:val="bottom"/>
          </w:tcPr>
          <w:p w14:paraId="201A06F7"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CENTRO VOC.  ESPECIAL</w:t>
            </w:r>
          </w:p>
        </w:tc>
        <w:tc>
          <w:tcPr>
            <w:tcW w:w="1440" w:type="dxa"/>
            <w:tcBorders>
              <w:bottom w:val="dashSmallGap" w:sz="4" w:space="0" w:color="auto"/>
            </w:tcBorders>
            <w:shd w:val="clear" w:color="auto" w:fill="auto"/>
            <w:vAlign w:val="bottom"/>
          </w:tcPr>
          <w:p w14:paraId="2189F40B"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bottom w:val="dashSmallGap" w:sz="4" w:space="0" w:color="auto"/>
            </w:tcBorders>
            <w:shd w:val="clear" w:color="auto" w:fill="auto"/>
            <w:vAlign w:val="bottom"/>
          </w:tcPr>
          <w:p w14:paraId="44641A5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114,699.92</w:t>
            </w:r>
          </w:p>
        </w:tc>
      </w:tr>
      <w:tr w:rsidR="00446B12" w:rsidRPr="00BB36A5" w14:paraId="51723EAC" w14:textId="77777777" w:rsidTr="008C6B72">
        <w:tc>
          <w:tcPr>
            <w:tcW w:w="895" w:type="dxa"/>
            <w:vMerge/>
            <w:vAlign w:val="center"/>
          </w:tcPr>
          <w:p w14:paraId="2CA525C9"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56A75507"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43406</w:t>
            </w:r>
          </w:p>
        </w:tc>
        <w:tc>
          <w:tcPr>
            <w:tcW w:w="2951" w:type="dxa"/>
            <w:tcBorders>
              <w:top w:val="dashSmallGap" w:sz="4" w:space="0" w:color="auto"/>
              <w:bottom w:val="dashSmallGap" w:sz="4" w:space="0" w:color="auto"/>
            </w:tcBorders>
            <w:shd w:val="clear" w:color="auto" w:fill="auto"/>
            <w:vAlign w:val="bottom"/>
          </w:tcPr>
          <w:p w14:paraId="6C75D28B"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LAURA MERCADO</w:t>
            </w:r>
          </w:p>
        </w:tc>
        <w:tc>
          <w:tcPr>
            <w:tcW w:w="1440" w:type="dxa"/>
            <w:tcBorders>
              <w:top w:val="dashSmallGap" w:sz="4" w:space="0" w:color="auto"/>
              <w:bottom w:val="dashSmallGap" w:sz="4" w:space="0" w:color="auto"/>
            </w:tcBorders>
            <w:shd w:val="clear" w:color="auto" w:fill="auto"/>
            <w:vAlign w:val="bottom"/>
          </w:tcPr>
          <w:p w14:paraId="7F1B190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dashSmallGap" w:sz="4" w:space="0" w:color="auto"/>
            </w:tcBorders>
            <w:shd w:val="clear" w:color="auto" w:fill="auto"/>
            <w:vAlign w:val="bottom"/>
          </w:tcPr>
          <w:p w14:paraId="4D9B149A"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201,735.26</w:t>
            </w:r>
          </w:p>
        </w:tc>
      </w:tr>
      <w:tr w:rsidR="00446B12" w:rsidRPr="00BB36A5" w14:paraId="23CB4F98" w14:textId="77777777" w:rsidTr="008C6B72">
        <w:tc>
          <w:tcPr>
            <w:tcW w:w="895" w:type="dxa"/>
            <w:vMerge/>
            <w:vAlign w:val="center"/>
          </w:tcPr>
          <w:p w14:paraId="26DB2773"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shd w:val="clear" w:color="auto" w:fill="auto"/>
            <w:vAlign w:val="bottom"/>
          </w:tcPr>
          <w:p w14:paraId="40852DE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44560</w:t>
            </w:r>
          </w:p>
        </w:tc>
        <w:tc>
          <w:tcPr>
            <w:tcW w:w="2951" w:type="dxa"/>
            <w:tcBorders>
              <w:top w:val="dashSmallGap" w:sz="4" w:space="0" w:color="auto"/>
              <w:bottom w:val="single" w:sz="4" w:space="0" w:color="auto"/>
            </w:tcBorders>
            <w:shd w:val="clear" w:color="auto" w:fill="auto"/>
            <w:vAlign w:val="bottom"/>
          </w:tcPr>
          <w:p w14:paraId="503E1F67"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CROEM</w:t>
            </w:r>
          </w:p>
        </w:tc>
        <w:tc>
          <w:tcPr>
            <w:tcW w:w="1440" w:type="dxa"/>
            <w:tcBorders>
              <w:top w:val="dashSmallGap" w:sz="4" w:space="0" w:color="auto"/>
              <w:bottom w:val="single" w:sz="4" w:space="0" w:color="auto"/>
            </w:tcBorders>
            <w:shd w:val="clear" w:color="auto" w:fill="auto"/>
            <w:vAlign w:val="bottom"/>
          </w:tcPr>
          <w:p w14:paraId="7A478642" w14:textId="3987928D"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A066FF" w:rsidRPr="00BB36A5">
              <w:rPr>
                <w:rFonts w:asciiTheme="majorHAnsi" w:eastAsia="Times New Roman" w:hAnsiTheme="majorHAnsi" w:cstheme="majorHAnsi"/>
                <w:color w:val="000000"/>
              </w:rPr>
              <w:t>Y</w:t>
            </w:r>
          </w:p>
        </w:tc>
        <w:tc>
          <w:tcPr>
            <w:tcW w:w="1440" w:type="dxa"/>
            <w:tcBorders>
              <w:top w:val="dashSmallGap" w:sz="4" w:space="0" w:color="auto"/>
              <w:bottom w:val="single" w:sz="4" w:space="0" w:color="auto"/>
            </w:tcBorders>
            <w:shd w:val="clear" w:color="auto" w:fill="auto"/>
            <w:vAlign w:val="bottom"/>
          </w:tcPr>
          <w:p w14:paraId="24F69BF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280,332.16</w:t>
            </w:r>
          </w:p>
        </w:tc>
      </w:tr>
      <w:tr w:rsidR="00446B12" w:rsidRPr="00BB36A5" w14:paraId="4D755A6A" w14:textId="77777777" w:rsidTr="008C6B72">
        <w:tc>
          <w:tcPr>
            <w:tcW w:w="895" w:type="dxa"/>
            <w:vMerge w:val="restart"/>
            <w:textDirection w:val="btLr"/>
            <w:vAlign w:val="center"/>
          </w:tcPr>
          <w:p w14:paraId="49B93869" w14:textId="77777777" w:rsidR="00446B12" w:rsidRPr="00BB36A5" w:rsidRDefault="00446B12" w:rsidP="008C6B72">
            <w:pPr>
              <w:ind w:left="113" w:right="113"/>
              <w:jc w:val="center"/>
              <w:rPr>
                <w:rFonts w:asciiTheme="majorHAnsi" w:hAnsiTheme="majorHAnsi" w:cstheme="majorHAnsi"/>
              </w:rPr>
            </w:pPr>
            <w:r w:rsidRPr="00BB36A5">
              <w:rPr>
                <w:rFonts w:asciiTheme="majorHAnsi" w:hAnsiTheme="majorHAnsi" w:cstheme="majorHAnsi"/>
              </w:rPr>
              <w:t>Pon</w:t>
            </w:r>
          </w:p>
        </w:tc>
        <w:tc>
          <w:tcPr>
            <w:tcW w:w="1009" w:type="dxa"/>
            <w:tcBorders>
              <w:bottom w:val="dashSmallGap" w:sz="4" w:space="0" w:color="auto"/>
            </w:tcBorders>
            <w:shd w:val="clear" w:color="auto" w:fill="auto"/>
            <w:vAlign w:val="bottom"/>
          </w:tcPr>
          <w:p w14:paraId="61B5E4D7"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52555</w:t>
            </w:r>
          </w:p>
        </w:tc>
        <w:tc>
          <w:tcPr>
            <w:tcW w:w="2951" w:type="dxa"/>
            <w:tcBorders>
              <w:bottom w:val="dashSmallGap" w:sz="4" w:space="0" w:color="auto"/>
            </w:tcBorders>
            <w:shd w:val="clear" w:color="auto" w:fill="auto"/>
            <w:vAlign w:val="bottom"/>
          </w:tcPr>
          <w:p w14:paraId="1A18FE00"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RAMON MARIN</w:t>
            </w:r>
          </w:p>
        </w:tc>
        <w:tc>
          <w:tcPr>
            <w:tcW w:w="1440" w:type="dxa"/>
            <w:tcBorders>
              <w:bottom w:val="dashSmallGap" w:sz="4" w:space="0" w:color="auto"/>
            </w:tcBorders>
            <w:shd w:val="clear" w:color="auto" w:fill="auto"/>
            <w:vAlign w:val="bottom"/>
          </w:tcPr>
          <w:p w14:paraId="4BD4FD1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bottom w:val="dashSmallGap" w:sz="4" w:space="0" w:color="auto"/>
            </w:tcBorders>
            <w:shd w:val="clear" w:color="auto" w:fill="auto"/>
            <w:vAlign w:val="bottom"/>
          </w:tcPr>
          <w:p w14:paraId="44FD88C9"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119,966.29</w:t>
            </w:r>
          </w:p>
        </w:tc>
      </w:tr>
      <w:tr w:rsidR="00446B12" w:rsidRPr="00BB36A5" w14:paraId="644FB072" w14:textId="77777777" w:rsidTr="008C6B72">
        <w:tc>
          <w:tcPr>
            <w:tcW w:w="895" w:type="dxa"/>
            <w:vMerge/>
            <w:vAlign w:val="center"/>
          </w:tcPr>
          <w:p w14:paraId="2A1A74B8"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53FC7303"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51763</w:t>
            </w:r>
          </w:p>
        </w:tc>
        <w:tc>
          <w:tcPr>
            <w:tcW w:w="2951" w:type="dxa"/>
            <w:tcBorders>
              <w:top w:val="dashSmallGap" w:sz="4" w:space="0" w:color="auto"/>
              <w:bottom w:val="dashSmallGap" w:sz="4" w:space="0" w:color="auto"/>
            </w:tcBorders>
            <w:shd w:val="clear" w:color="auto" w:fill="auto"/>
            <w:vAlign w:val="bottom"/>
          </w:tcPr>
          <w:p w14:paraId="16D50E76"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LUIS MUÑOZ MARIN</w:t>
            </w:r>
          </w:p>
        </w:tc>
        <w:tc>
          <w:tcPr>
            <w:tcW w:w="1440" w:type="dxa"/>
            <w:tcBorders>
              <w:top w:val="dashSmallGap" w:sz="4" w:space="0" w:color="auto"/>
              <w:bottom w:val="dashSmallGap" w:sz="4" w:space="0" w:color="auto"/>
            </w:tcBorders>
            <w:shd w:val="clear" w:color="auto" w:fill="auto"/>
            <w:vAlign w:val="bottom"/>
          </w:tcPr>
          <w:p w14:paraId="06988C94"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dashSmallGap" w:sz="4" w:space="0" w:color="auto"/>
            </w:tcBorders>
            <w:shd w:val="clear" w:color="auto" w:fill="auto"/>
            <w:vAlign w:val="bottom"/>
          </w:tcPr>
          <w:p w14:paraId="2555B6B9"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140,263.78</w:t>
            </w:r>
          </w:p>
        </w:tc>
      </w:tr>
      <w:tr w:rsidR="00446B12" w:rsidRPr="00BB36A5" w14:paraId="6A0DF10D" w14:textId="77777777" w:rsidTr="008C6B72">
        <w:tc>
          <w:tcPr>
            <w:tcW w:w="895" w:type="dxa"/>
            <w:vMerge/>
            <w:vAlign w:val="center"/>
          </w:tcPr>
          <w:p w14:paraId="6030EC10"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4FDD1C2B"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52696</w:t>
            </w:r>
          </w:p>
        </w:tc>
        <w:tc>
          <w:tcPr>
            <w:tcW w:w="2951" w:type="dxa"/>
            <w:tcBorders>
              <w:top w:val="dashSmallGap" w:sz="4" w:space="0" w:color="auto"/>
              <w:bottom w:val="dashSmallGap" w:sz="4" w:space="0" w:color="auto"/>
            </w:tcBorders>
            <w:shd w:val="clear" w:color="auto" w:fill="auto"/>
            <w:vAlign w:val="bottom"/>
          </w:tcPr>
          <w:p w14:paraId="708E8F36"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 xml:space="preserve">BERNARDINO CORDERO </w:t>
            </w:r>
          </w:p>
        </w:tc>
        <w:tc>
          <w:tcPr>
            <w:tcW w:w="1440" w:type="dxa"/>
            <w:tcBorders>
              <w:top w:val="dashSmallGap" w:sz="4" w:space="0" w:color="auto"/>
              <w:bottom w:val="dashSmallGap" w:sz="4" w:space="0" w:color="auto"/>
            </w:tcBorders>
            <w:shd w:val="clear" w:color="auto" w:fill="auto"/>
            <w:vAlign w:val="bottom"/>
          </w:tcPr>
          <w:p w14:paraId="2818F28B" w14:textId="389C7260"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A066FF" w:rsidRPr="00BB36A5">
              <w:rPr>
                <w:rFonts w:asciiTheme="majorHAnsi" w:eastAsia="Times New Roman" w:hAnsiTheme="majorHAnsi" w:cstheme="majorHAnsi"/>
                <w:color w:val="000000"/>
              </w:rPr>
              <w:t>Y</w:t>
            </w:r>
          </w:p>
        </w:tc>
        <w:tc>
          <w:tcPr>
            <w:tcW w:w="1440" w:type="dxa"/>
            <w:tcBorders>
              <w:top w:val="dashSmallGap" w:sz="4" w:space="0" w:color="auto"/>
              <w:bottom w:val="dashSmallGap" w:sz="4" w:space="0" w:color="auto"/>
            </w:tcBorders>
            <w:shd w:val="clear" w:color="auto" w:fill="auto"/>
            <w:vAlign w:val="bottom"/>
          </w:tcPr>
          <w:p w14:paraId="601D95F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233,117.54</w:t>
            </w:r>
          </w:p>
        </w:tc>
      </w:tr>
      <w:tr w:rsidR="00446B12" w:rsidRPr="00BB36A5" w14:paraId="70DFF116" w14:textId="77777777" w:rsidTr="008C6B72">
        <w:tc>
          <w:tcPr>
            <w:tcW w:w="895" w:type="dxa"/>
            <w:vMerge/>
            <w:vAlign w:val="center"/>
          </w:tcPr>
          <w:p w14:paraId="33E569E6" w14:textId="77777777" w:rsidR="00446B12" w:rsidRPr="00BB36A5" w:rsidRDefault="00446B12" w:rsidP="008C6B72">
            <w:pPr>
              <w:jc w:val="center"/>
              <w:rPr>
                <w:rFonts w:asciiTheme="majorHAnsi" w:hAnsiTheme="majorHAnsi" w:cstheme="majorHAnsi"/>
              </w:rPr>
            </w:pPr>
          </w:p>
        </w:tc>
        <w:tc>
          <w:tcPr>
            <w:tcW w:w="1009" w:type="dxa"/>
            <w:tcBorders>
              <w:top w:val="dashSmallGap" w:sz="4" w:space="0" w:color="auto"/>
              <w:bottom w:val="single" w:sz="4" w:space="0" w:color="auto"/>
            </w:tcBorders>
            <w:shd w:val="clear" w:color="auto" w:fill="auto"/>
            <w:vAlign w:val="bottom"/>
          </w:tcPr>
          <w:p w14:paraId="031C5ECC"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55244</w:t>
            </w:r>
          </w:p>
        </w:tc>
        <w:tc>
          <w:tcPr>
            <w:tcW w:w="2951" w:type="dxa"/>
            <w:tcBorders>
              <w:top w:val="dashSmallGap" w:sz="4" w:space="0" w:color="auto"/>
              <w:bottom w:val="single" w:sz="4" w:space="0" w:color="auto"/>
            </w:tcBorders>
            <w:shd w:val="clear" w:color="auto" w:fill="auto"/>
            <w:vAlign w:val="bottom"/>
          </w:tcPr>
          <w:p w14:paraId="726D5B19"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lang w:val="es-PR"/>
              </w:rPr>
            </w:pPr>
            <w:r w:rsidRPr="00BB36A5">
              <w:rPr>
                <w:rFonts w:asciiTheme="majorHAnsi" w:eastAsia="Times New Roman" w:hAnsiTheme="majorHAnsi" w:cstheme="majorHAnsi"/>
                <w:color w:val="000000"/>
                <w:lang w:val="es-PR"/>
              </w:rPr>
              <w:t>SUP. OCUP Y TECN DE YAUCO</w:t>
            </w:r>
          </w:p>
        </w:tc>
        <w:tc>
          <w:tcPr>
            <w:tcW w:w="1440" w:type="dxa"/>
            <w:tcBorders>
              <w:top w:val="dashSmallGap" w:sz="4" w:space="0" w:color="auto"/>
              <w:bottom w:val="single" w:sz="4" w:space="0" w:color="auto"/>
            </w:tcBorders>
            <w:shd w:val="clear" w:color="auto" w:fill="auto"/>
            <w:vAlign w:val="bottom"/>
          </w:tcPr>
          <w:p w14:paraId="684CC79E" w14:textId="6D77F63A"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w:t>
            </w:r>
            <w:r w:rsidR="00A066FF" w:rsidRPr="00BB36A5">
              <w:rPr>
                <w:rFonts w:asciiTheme="majorHAnsi" w:eastAsia="Times New Roman" w:hAnsiTheme="majorHAnsi" w:cstheme="majorHAnsi"/>
                <w:color w:val="000000"/>
              </w:rPr>
              <w:t>RY</w:t>
            </w:r>
          </w:p>
        </w:tc>
        <w:tc>
          <w:tcPr>
            <w:tcW w:w="1440" w:type="dxa"/>
            <w:tcBorders>
              <w:top w:val="dashSmallGap" w:sz="4" w:space="0" w:color="auto"/>
              <w:bottom w:val="single" w:sz="4" w:space="0" w:color="auto"/>
            </w:tcBorders>
            <w:shd w:val="clear" w:color="auto" w:fill="auto"/>
            <w:vAlign w:val="bottom"/>
          </w:tcPr>
          <w:p w14:paraId="6492DAC7"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225,274.94</w:t>
            </w:r>
          </w:p>
        </w:tc>
      </w:tr>
      <w:tr w:rsidR="00446B12" w:rsidRPr="00BB36A5" w14:paraId="3FF81803" w14:textId="77777777" w:rsidTr="008C6B72">
        <w:tc>
          <w:tcPr>
            <w:tcW w:w="895" w:type="dxa"/>
            <w:vMerge w:val="restart"/>
            <w:textDirection w:val="btLr"/>
            <w:vAlign w:val="center"/>
          </w:tcPr>
          <w:p w14:paraId="5A30CF4D" w14:textId="77777777" w:rsidR="00446B12" w:rsidRPr="00BB36A5" w:rsidRDefault="00446B12" w:rsidP="008C6B72">
            <w:pPr>
              <w:ind w:left="113" w:right="113"/>
              <w:jc w:val="center"/>
              <w:rPr>
                <w:rFonts w:asciiTheme="majorHAnsi" w:hAnsiTheme="majorHAnsi" w:cstheme="majorHAnsi"/>
              </w:rPr>
            </w:pPr>
            <w:proofErr w:type="spellStart"/>
            <w:r w:rsidRPr="00BB36A5">
              <w:rPr>
                <w:rFonts w:asciiTheme="majorHAnsi" w:hAnsiTheme="majorHAnsi" w:cstheme="majorHAnsi"/>
              </w:rPr>
              <w:t>SJuan</w:t>
            </w:r>
            <w:proofErr w:type="spellEnd"/>
          </w:p>
        </w:tc>
        <w:tc>
          <w:tcPr>
            <w:tcW w:w="1009" w:type="dxa"/>
            <w:tcBorders>
              <w:bottom w:val="dashSmallGap" w:sz="4" w:space="0" w:color="auto"/>
            </w:tcBorders>
            <w:shd w:val="clear" w:color="auto" w:fill="auto"/>
            <w:vAlign w:val="bottom"/>
          </w:tcPr>
          <w:p w14:paraId="1D8DB5FC"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62901</w:t>
            </w:r>
          </w:p>
        </w:tc>
        <w:tc>
          <w:tcPr>
            <w:tcW w:w="2951" w:type="dxa"/>
            <w:tcBorders>
              <w:bottom w:val="dashSmallGap" w:sz="4" w:space="0" w:color="auto"/>
            </w:tcBorders>
            <w:shd w:val="clear" w:color="auto" w:fill="auto"/>
            <w:vAlign w:val="bottom"/>
          </w:tcPr>
          <w:p w14:paraId="608B456F"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INES MARIA MENDOZA</w:t>
            </w:r>
          </w:p>
        </w:tc>
        <w:tc>
          <w:tcPr>
            <w:tcW w:w="1440" w:type="dxa"/>
            <w:tcBorders>
              <w:bottom w:val="dashSmallGap" w:sz="4" w:space="0" w:color="auto"/>
            </w:tcBorders>
            <w:shd w:val="clear" w:color="auto" w:fill="auto"/>
            <w:vAlign w:val="bottom"/>
          </w:tcPr>
          <w:p w14:paraId="59F398B3" w14:textId="35BD98CA"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A066FF" w:rsidRPr="00BB36A5">
              <w:rPr>
                <w:rFonts w:asciiTheme="majorHAnsi" w:eastAsia="Times New Roman" w:hAnsiTheme="majorHAnsi" w:cstheme="majorHAnsi"/>
                <w:color w:val="000000"/>
              </w:rPr>
              <w:t>Y</w:t>
            </w:r>
          </w:p>
        </w:tc>
        <w:tc>
          <w:tcPr>
            <w:tcW w:w="1440" w:type="dxa"/>
            <w:tcBorders>
              <w:bottom w:val="dashSmallGap" w:sz="4" w:space="0" w:color="auto"/>
            </w:tcBorders>
            <w:shd w:val="clear" w:color="auto" w:fill="auto"/>
            <w:vAlign w:val="bottom"/>
          </w:tcPr>
          <w:p w14:paraId="71360203"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279,300.59</w:t>
            </w:r>
          </w:p>
        </w:tc>
      </w:tr>
      <w:tr w:rsidR="00446B12" w:rsidRPr="00BB36A5" w14:paraId="19347B9D" w14:textId="77777777" w:rsidTr="008C6B72">
        <w:tc>
          <w:tcPr>
            <w:tcW w:w="895" w:type="dxa"/>
            <w:vMerge/>
          </w:tcPr>
          <w:p w14:paraId="2BBE0CB9" w14:textId="77777777" w:rsidR="00446B12" w:rsidRPr="00BB36A5" w:rsidRDefault="00446B12" w:rsidP="008C6B72">
            <w:pP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34FAE2A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69930</w:t>
            </w:r>
          </w:p>
        </w:tc>
        <w:tc>
          <w:tcPr>
            <w:tcW w:w="2951" w:type="dxa"/>
            <w:tcBorders>
              <w:top w:val="dashSmallGap" w:sz="4" w:space="0" w:color="auto"/>
              <w:bottom w:val="dashSmallGap" w:sz="4" w:space="0" w:color="auto"/>
            </w:tcBorders>
            <w:shd w:val="clear" w:color="auto" w:fill="auto"/>
            <w:vAlign w:val="bottom"/>
          </w:tcPr>
          <w:p w14:paraId="17D7265F"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G. CONCEPCION DE GRACIA</w:t>
            </w:r>
          </w:p>
        </w:tc>
        <w:tc>
          <w:tcPr>
            <w:tcW w:w="1440" w:type="dxa"/>
            <w:tcBorders>
              <w:top w:val="dashSmallGap" w:sz="4" w:space="0" w:color="auto"/>
              <w:bottom w:val="dashSmallGap" w:sz="4" w:space="0" w:color="auto"/>
            </w:tcBorders>
            <w:shd w:val="clear" w:color="auto" w:fill="auto"/>
            <w:vAlign w:val="bottom"/>
          </w:tcPr>
          <w:p w14:paraId="33E7D956" w14:textId="4B9A190D"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A066FF" w:rsidRPr="00BB36A5">
              <w:rPr>
                <w:rFonts w:asciiTheme="majorHAnsi" w:eastAsia="Times New Roman" w:hAnsiTheme="majorHAnsi" w:cstheme="majorHAnsi"/>
                <w:color w:val="000000"/>
              </w:rPr>
              <w:t>Y</w:t>
            </w:r>
          </w:p>
        </w:tc>
        <w:tc>
          <w:tcPr>
            <w:tcW w:w="1440" w:type="dxa"/>
            <w:tcBorders>
              <w:top w:val="dashSmallGap" w:sz="4" w:space="0" w:color="auto"/>
              <w:bottom w:val="dashSmallGap" w:sz="4" w:space="0" w:color="auto"/>
            </w:tcBorders>
            <w:shd w:val="clear" w:color="auto" w:fill="auto"/>
            <w:vAlign w:val="bottom"/>
          </w:tcPr>
          <w:p w14:paraId="60899560"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274,530.60</w:t>
            </w:r>
          </w:p>
        </w:tc>
      </w:tr>
      <w:tr w:rsidR="00446B12" w:rsidRPr="00BB36A5" w14:paraId="077F5CC0" w14:textId="77777777" w:rsidTr="008C6B72">
        <w:tc>
          <w:tcPr>
            <w:tcW w:w="895" w:type="dxa"/>
            <w:vMerge/>
          </w:tcPr>
          <w:p w14:paraId="0D76F38E" w14:textId="77777777" w:rsidR="00446B12" w:rsidRPr="00BB36A5" w:rsidRDefault="00446B12" w:rsidP="008C6B72">
            <w:pP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276A46EF"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62893</w:t>
            </w:r>
          </w:p>
        </w:tc>
        <w:tc>
          <w:tcPr>
            <w:tcW w:w="2951" w:type="dxa"/>
            <w:tcBorders>
              <w:top w:val="dashSmallGap" w:sz="4" w:space="0" w:color="auto"/>
              <w:bottom w:val="dashSmallGap" w:sz="4" w:space="0" w:color="auto"/>
            </w:tcBorders>
            <w:shd w:val="clear" w:color="auto" w:fill="auto"/>
            <w:vAlign w:val="bottom"/>
          </w:tcPr>
          <w:p w14:paraId="33300914"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JUAN ANTONIO CORRETJER</w:t>
            </w:r>
          </w:p>
        </w:tc>
        <w:tc>
          <w:tcPr>
            <w:tcW w:w="1440" w:type="dxa"/>
            <w:tcBorders>
              <w:top w:val="dashSmallGap" w:sz="4" w:space="0" w:color="auto"/>
              <w:bottom w:val="dashSmallGap" w:sz="4" w:space="0" w:color="auto"/>
            </w:tcBorders>
            <w:shd w:val="clear" w:color="auto" w:fill="auto"/>
            <w:vAlign w:val="bottom"/>
          </w:tcPr>
          <w:p w14:paraId="54D91E54"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dashSmallGap" w:sz="4" w:space="0" w:color="auto"/>
            </w:tcBorders>
            <w:shd w:val="clear" w:color="auto" w:fill="auto"/>
            <w:vAlign w:val="bottom"/>
          </w:tcPr>
          <w:p w14:paraId="286D6318"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249,323.51</w:t>
            </w:r>
          </w:p>
        </w:tc>
      </w:tr>
      <w:tr w:rsidR="00446B12" w:rsidRPr="00BB36A5" w14:paraId="01772CE1" w14:textId="77777777" w:rsidTr="008C6B72">
        <w:tc>
          <w:tcPr>
            <w:tcW w:w="895" w:type="dxa"/>
            <w:vMerge/>
          </w:tcPr>
          <w:p w14:paraId="3C15DABD" w14:textId="77777777" w:rsidR="00446B12" w:rsidRPr="00BB36A5" w:rsidRDefault="00446B12" w:rsidP="008C6B72">
            <w:pP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2D7545D9"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61663</w:t>
            </w:r>
          </w:p>
        </w:tc>
        <w:tc>
          <w:tcPr>
            <w:tcW w:w="2951" w:type="dxa"/>
            <w:tcBorders>
              <w:top w:val="dashSmallGap" w:sz="4" w:space="0" w:color="auto"/>
              <w:bottom w:val="dashSmallGap" w:sz="4" w:space="0" w:color="auto"/>
            </w:tcBorders>
            <w:shd w:val="clear" w:color="auto" w:fill="auto"/>
            <w:vAlign w:val="bottom"/>
          </w:tcPr>
          <w:p w14:paraId="070570B9"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DR JOSE CELSO BARBOSA</w:t>
            </w:r>
          </w:p>
        </w:tc>
        <w:tc>
          <w:tcPr>
            <w:tcW w:w="1440" w:type="dxa"/>
            <w:tcBorders>
              <w:top w:val="dashSmallGap" w:sz="4" w:space="0" w:color="auto"/>
              <w:bottom w:val="dashSmallGap" w:sz="4" w:space="0" w:color="auto"/>
            </w:tcBorders>
            <w:shd w:val="clear" w:color="auto" w:fill="auto"/>
            <w:vAlign w:val="bottom"/>
          </w:tcPr>
          <w:p w14:paraId="76C22958" w14:textId="70D14CFA"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SECUNDAR</w:t>
            </w:r>
            <w:r w:rsidR="00A066FF" w:rsidRPr="00BB36A5">
              <w:rPr>
                <w:rFonts w:asciiTheme="majorHAnsi" w:eastAsia="Times New Roman" w:hAnsiTheme="majorHAnsi" w:cstheme="majorHAnsi"/>
                <w:color w:val="000000"/>
              </w:rPr>
              <w:t>Y</w:t>
            </w:r>
          </w:p>
        </w:tc>
        <w:tc>
          <w:tcPr>
            <w:tcW w:w="1440" w:type="dxa"/>
            <w:tcBorders>
              <w:top w:val="dashSmallGap" w:sz="4" w:space="0" w:color="auto"/>
              <w:bottom w:val="dashSmallGap" w:sz="4" w:space="0" w:color="auto"/>
            </w:tcBorders>
            <w:shd w:val="clear" w:color="auto" w:fill="auto"/>
            <w:vAlign w:val="bottom"/>
          </w:tcPr>
          <w:p w14:paraId="11B90165"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233,186.14</w:t>
            </w:r>
          </w:p>
        </w:tc>
      </w:tr>
      <w:tr w:rsidR="00446B12" w:rsidRPr="00BB36A5" w14:paraId="192DD97F" w14:textId="77777777" w:rsidTr="008C6B72">
        <w:tc>
          <w:tcPr>
            <w:tcW w:w="895" w:type="dxa"/>
            <w:vMerge/>
          </w:tcPr>
          <w:p w14:paraId="54015528" w14:textId="77777777" w:rsidR="00446B12" w:rsidRPr="00BB36A5" w:rsidRDefault="00446B12" w:rsidP="008C6B72">
            <w:pPr>
              <w:rPr>
                <w:rFonts w:asciiTheme="majorHAnsi" w:hAnsiTheme="majorHAnsi" w:cstheme="majorHAnsi"/>
              </w:rPr>
            </w:pPr>
          </w:p>
        </w:tc>
        <w:tc>
          <w:tcPr>
            <w:tcW w:w="1009" w:type="dxa"/>
            <w:tcBorders>
              <w:top w:val="dashSmallGap" w:sz="4" w:space="0" w:color="auto"/>
              <w:bottom w:val="dashSmallGap" w:sz="4" w:space="0" w:color="auto"/>
            </w:tcBorders>
            <w:shd w:val="clear" w:color="auto" w:fill="auto"/>
            <w:vAlign w:val="bottom"/>
          </w:tcPr>
          <w:p w14:paraId="522CB9D2"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54288</w:t>
            </w:r>
          </w:p>
        </w:tc>
        <w:tc>
          <w:tcPr>
            <w:tcW w:w="2951" w:type="dxa"/>
            <w:tcBorders>
              <w:top w:val="dashSmallGap" w:sz="4" w:space="0" w:color="auto"/>
              <w:bottom w:val="dashSmallGap" w:sz="4" w:space="0" w:color="auto"/>
            </w:tcBorders>
            <w:shd w:val="clear" w:color="auto" w:fill="auto"/>
            <w:vAlign w:val="bottom"/>
          </w:tcPr>
          <w:p w14:paraId="18E18DE0" w14:textId="77777777" w:rsidR="00446B12" w:rsidRPr="00BB36A5" w:rsidRDefault="00446B12" w:rsidP="008C6B72">
            <w:pPr>
              <w:pStyle w:val="ListParagraph"/>
              <w:numPr>
                <w:ilvl w:val="0"/>
                <w:numId w:val="25"/>
              </w:numPr>
              <w:ind w:left="331" w:hanging="331"/>
              <w:rPr>
                <w:rFonts w:asciiTheme="majorHAnsi" w:eastAsia="Times New Roman" w:hAnsiTheme="majorHAnsi" w:cstheme="majorHAnsi"/>
                <w:color w:val="000000"/>
              </w:rPr>
            </w:pPr>
            <w:r w:rsidRPr="00BB36A5">
              <w:rPr>
                <w:rFonts w:asciiTheme="majorHAnsi" w:eastAsia="Times New Roman" w:hAnsiTheme="majorHAnsi" w:cstheme="majorHAnsi"/>
                <w:color w:val="000000"/>
              </w:rPr>
              <w:t>SANTA ROSA II</w:t>
            </w:r>
          </w:p>
        </w:tc>
        <w:tc>
          <w:tcPr>
            <w:tcW w:w="1440" w:type="dxa"/>
            <w:tcBorders>
              <w:top w:val="dashSmallGap" w:sz="4" w:space="0" w:color="auto"/>
              <w:bottom w:val="dashSmallGap" w:sz="4" w:space="0" w:color="auto"/>
            </w:tcBorders>
            <w:shd w:val="clear" w:color="auto" w:fill="auto"/>
            <w:vAlign w:val="bottom"/>
          </w:tcPr>
          <w:p w14:paraId="200C8306"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ALL</w:t>
            </w:r>
          </w:p>
        </w:tc>
        <w:tc>
          <w:tcPr>
            <w:tcW w:w="1440" w:type="dxa"/>
            <w:tcBorders>
              <w:top w:val="dashSmallGap" w:sz="4" w:space="0" w:color="auto"/>
              <w:bottom w:val="dashSmallGap" w:sz="4" w:space="0" w:color="auto"/>
            </w:tcBorders>
            <w:shd w:val="clear" w:color="auto" w:fill="auto"/>
            <w:vAlign w:val="bottom"/>
          </w:tcPr>
          <w:p w14:paraId="1B0B3CF2"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115,947.57</w:t>
            </w:r>
          </w:p>
        </w:tc>
      </w:tr>
      <w:tr w:rsidR="00446B12" w:rsidRPr="00BB36A5" w14:paraId="57E9CA93" w14:textId="77777777" w:rsidTr="008C6B72">
        <w:trPr>
          <w:trHeight w:val="50"/>
        </w:trPr>
        <w:tc>
          <w:tcPr>
            <w:tcW w:w="895" w:type="dxa"/>
            <w:vMerge/>
          </w:tcPr>
          <w:p w14:paraId="0EFD9EDA" w14:textId="77777777" w:rsidR="00446B12" w:rsidRPr="00BB36A5" w:rsidRDefault="00446B12" w:rsidP="008C6B72">
            <w:pPr>
              <w:rPr>
                <w:rFonts w:asciiTheme="majorHAnsi" w:hAnsiTheme="majorHAnsi" w:cstheme="majorHAnsi"/>
              </w:rPr>
            </w:pPr>
          </w:p>
        </w:tc>
        <w:tc>
          <w:tcPr>
            <w:tcW w:w="1009" w:type="dxa"/>
            <w:tcBorders>
              <w:top w:val="dashSmallGap" w:sz="4" w:space="0" w:color="auto"/>
            </w:tcBorders>
            <w:shd w:val="clear" w:color="auto" w:fill="auto"/>
            <w:vAlign w:val="bottom"/>
          </w:tcPr>
          <w:p w14:paraId="32C3D023" w14:textId="77777777" w:rsidR="00446B12" w:rsidRPr="00BB36A5" w:rsidRDefault="00446B12" w:rsidP="008C6B72">
            <w:pPr>
              <w:jc w:val="center"/>
              <w:rPr>
                <w:rFonts w:asciiTheme="majorHAnsi" w:hAnsiTheme="majorHAnsi" w:cstheme="majorHAnsi"/>
                <w:color w:val="000000"/>
              </w:rPr>
            </w:pPr>
            <w:r w:rsidRPr="00BB36A5">
              <w:rPr>
                <w:rFonts w:asciiTheme="majorHAnsi" w:hAnsiTheme="majorHAnsi" w:cstheme="majorHAnsi"/>
                <w:color w:val="000000"/>
              </w:rPr>
              <w:t>64527</w:t>
            </w:r>
          </w:p>
        </w:tc>
        <w:tc>
          <w:tcPr>
            <w:tcW w:w="2951" w:type="dxa"/>
            <w:tcBorders>
              <w:top w:val="dashSmallGap" w:sz="4" w:space="0" w:color="auto"/>
            </w:tcBorders>
            <w:shd w:val="clear" w:color="auto" w:fill="auto"/>
            <w:vAlign w:val="bottom"/>
          </w:tcPr>
          <w:p w14:paraId="1D14985F" w14:textId="77777777" w:rsidR="00446B12" w:rsidRPr="00BB36A5" w:rsidRDefault="00446B12" w:rsidP="008C6B72">
            <w:pPr>
              <w:pStyle w:val="ListParagraph"/>
              <w:numPr>
                <w:ilvl w:val="0"/>
                <w:numId w:val="25"/>
              </w:numPr>
              <w:ind w:left="331" w:hanging="331"/>
              <w:rPr>
                <w:rFonts w:asciiTheme="majorHAnsi" w:hAnsiTheme="majorHAnsi" w:cstheme="majorHAnsi"/>
                <w:color w:val="000000"/>
              </w:rPr>
            </w:pPr>
            <w:r w:rsidRPr="00BB36A5">
              <w:rPr>
                <w:rFonts w:asciiTheme="majorHAnsi" w:hAnsiTheme="majorHAnsi" w:cstheme="majorHAnsi"/>
                <w:color w:val="000000"/>
              </w:rPr>
              <w:t>GUSTAVO A BECQUER</w:t>
            </w:r>
          </w:p>
        </w:tc>
        <w:tc>
          <w:tcPr>
            <w:tcW w:w="1440" w:type="dxa"/>
            <w:tcBorders>
              <w:top w:val="dashSmallGap" w:sz="4" w:space="0" w:color="auto"/>
            </w:tcBorders>
            <w:shd w:val="clear" w:color="auto" w:fill="auto"/>
            <w:vAlign w:val="bottom"/>
          </w:tcPr>
          <w:p w14:paraId="3A263D31"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PRIMARY</w:t>
            </w:r>
          </w:p>
        </w:tc>
        <w:tc>
          <w:tcPr>
            <w:tcW w:w="1440" w:type="dxa"/>
            <w:tcBorders>
              <w:top w:val="dashSmallGap" w:sz="4" w:space="0" w:color="auto"/>
            </w:tcBorders>
            <w:shd w:val="clear" w:color="auto" w:fill="auto"/>
            <w:vAlign w:val="bottom"/>
          </w:tcPr>
          <w:p w14:paraId="680661FB" w14:textId="77777777" w:rsidR="00446B12" w:rsidRPr="00BB36A5" w:rsidRDefault="00446B12" w:rsidP="008C6B72">
            <w:pPr>
              <w:jc w:val="center"/>
              <w:rPr>
                <w:rFonts w:asciiTheme="majorHAnsi" w:eastAsia="Times New Roman" w:hAnsiTheme="majorHAnsi" w:cstheme="majorHAnsi"/>
                <w:color w:val="000000"/>
              </w:rPr>
            </w:pPr>
            <w:r w:rsidRPr="00BB36A5">
              <w:rPr>
                <w:rFonts w:asciiTheme="majorHAnsi" w:eastAsia="Times New Roman" w:hAnsiTheme="majorHAnsi" w:cstheme="majorHAnsi"/>
                <w:color w:val="000000"/>
              </w:rPr>
              <w:t>93,543,14</w:t>
            </w:r>
          </w:p>
        </w:tc>
      </w:tr>
    </w:tbl>
    <w:p w14:paraId="64985283" w14:textId="42A2596F" w:rsidR="005B6D9D" w:rsidRPr="00BB36A5" w:rsidRDefault="005B6D9D" w:rsidP="005B6D9D">
      <w:pPr>
        <w:ind w:left="360"/>
        <w:rPr>
          <w:rFonts w:asciiTheme="majorHAnsi" w:hAnsiTheme="majorHAnsi" w:cstheme="majorHAnsi"/>
          <w:color w:val="000000" w:themeColor="text1"/>
          <w:lang w:val="es-PR"/>
        </w:rPr>
      </w:pPr>
    </w:p>
    <w:p w14:paraId="2987C2D1" w14:textId="77777777" w:rsidR="005B6D9D" w:rsidRPr="00BB36A5" w:rsidRDefault="005B6D9D" w:rsidP="0058431C">
      <w:pPr>
        <w:pStyle w:val="Default"/>
        <w:jc w:val="both"/>
        <w:rPr>
          <w:rFonts w:asciiTheme="majorHAnsi" w:hAnsiTheme="majorHAnsi" w:cstheme="majorHAnsi"/>
          <w:color w:val="000000" w:themeColor="text1"/>
          <w:lang w:val="es-PR"/>
        </w:rPr>
      </w:pPr>
    </w:p>
    <w:p w14:paraId="63545B4D" w14:textId="6FDB2326" w:rsidR="002C0E6B" w:rsidRPr="00BB36A5" w:rsidRDefault="0058431C" w:rsidP="00342E9E">
      <w:pPr>
        <w:pStyle w:val="Default"/>
        <w:numPr>
          <w:ilvl w:val="0"/>
          <w:numId w:val="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proceso de evaluación de riesgo </w:t>
      </w:r>
      <w:r w:rsidR="006E3DDA" w:rsidRPr="00BB36A5">
        <w:rPr>
          <w:rFonts w:asciiTheme="majorHAnsi" w:hAnsiTheme="majorHAnsi" w:cstheme="majorHAnsi"/>
          <w:color w:val="000000" w:themeColor="text1"/>
          <w:lang w:val="es-PR"/>
        </w:rPr>
        <w:t>se llevará a cabo</w:t>
      </w:r>
      <w:r w:rsidRPr="00BB36A5">
        <w:rPr>
          <w:rFonts w:asciiTheme="majorHAnsi" w:hAnsiTheme="majorHAnsi" w:cstheme="majorHAnsi"/>
          <w:color w:val="000000" w:themeColor="text1"/>
          <w:lang w:val="es-PR"/>
        </w:rPr>
        <w:t xml:space="preserve"> inclu</w:t>
      </w:r>
      <w:r w:rsidR="006E3DDA" w:rsidRPr="00BB36A5">
        <w:rPr>
          <w:rFonts w:asciiTheme="majorHAnsi" w:hAnsiTheme="majorHAnsi" w:cstheme="majorHAnsi"/>
          <w:color w:val="000000" w:themeColor="text1"/>
          <w:lang w:val="es-PR"/>
        </w:rPr>
        <w:t xml:space="preserve">yendo una muestra de las escuelas </w:t>
      </w:r>
      <w:r w:rsidR="004F714B" w:rsidRPr="00BB36A5">
        <w:rPr>
          <w:rFonts w:asciiTheme="majorHAnsi" w:hAnsiTheme="majorHAnsi" w:cstheme="majorHAnsi"/>
          <w:color w:val="000000" w:themeColor="text1"/>
          <w:lang w:val="es-PR"/>
        </w:rPr>
        <w:t>en</w:t>
      </w:r>
      <w:r w:rsidR="006E3DDA" w:rsidRPr="00BB36A5">
        <w:rPr>
          <w:rFonts w:asciiTheme="majorHAnsi" w:hAnsiTheme="majorHAnsi" w:cstheme="majorHAnsi"/>
          <w:color w:val="000000" w:themeColor="text1"/>
          <w:lang w:val="es-PR"/>
        </w:rPr>
        <w:t xml:space="preserve"> la Región</w:t>
      </w:r>
      <w:r w:rsidRPr="00BB36A5">
        <w:rPr>
          <w:rFonts w:asciiTheme="majorHAnsi" w:hAnsiTheme="majorHAnsi" w:cstheme="majorHAnsi"/>
          <w:color w:val="000000" w:themeColor="text1"/>
          <w:lang w:val="es-PR"/>
        </w:rPr>
        <w:t xml:space="preserve"> para garantizar una muestra representativa de </w:t>
      </w:r>
      <w:r w:rsidR="006E3DDA"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escuelas de cada región</w:t>
      </w:r>
      <w:r w:rsidR="006E3DDA" w:rsidRPr="00BB36A5">
        <w:rPr>
          <w:rFonts w:asciiTheme="majorHAnsi" w:hAnsiTheme="majorHAnsi" w:cstheme="majorHAnsi"/>
          <w:color w:val="000000" w:themeColor="text1"/>
          <w:lang w:val="es-PR"/>
        </w:rPr>
        <w:t xml:space="preserve"> que va a ser monitoreada</w:t>
      </w:r>
      <w:r w:rsidRPr="00BB36A5">
        <w:rPr>
          <w:rFonts w:asciiTheme="majorHAnsi" w:hAnsiTheme="majorHAnsi" w:cstheme="majorHAnsi"/>
          <w:color w:val="000000" w:themeColor="text1"/>
          <w:lang w:val="es-PR"/>
        </w:rPr>
        <w:t>.</w:t>
      </w:r>
    </w:p>
    <w:p w14:paraId="39EBB7CC" w14:textId="22F6D3C5" w:rsidR="000531E1" w:rsidRPr="00BB36A5" w:rsidRDefault="000531E1" w:rsidP="000531E1">
      <w:pPr>
        <w:pStyle w:val="Default"/>
        <w:spacing w:after="9"/>
        <w:ind w:left="360"/>
        <w:jc w:val="both"/>
        <w:rPr>
          <w:rFonts w:asciiTheme="majorHAnsi" w:hAnsiTheme="majorHAnsi" w:cstheme="majorHAnsi"/>
          <w:color w:val="000000" w:themeColor="text1"/>
          <w:lang w:val="es-PR"/>
        </w:rPr>
      </w:pPr>
    </w:p>
    <w:p w14:paraId="7226EB0E" w14:textId="5A1464A8" w:rsidR="000531E1" w:rsidRPr="00BB36A5" w:rsidRDefault="000531E1" w:rsidP="000531E1">
      <w:pPr>
        <w:pStyle w:val="Default"/>
        <w:spacing w:after="9"/>
        <w:ind w:left="360"/>
        <w:jc w:val="both"/>
        <w:rPr>
          <w:rFonts w:asciiTheme="majorHAnsi" w:hAnsiTheme="majorHAnsi" w:cstheme="majorHAnsi"/>
          <w:color w:val="000000" w:themeColor="text1"/>
          <w:lang w:val="es-PR"/>
        </w:rPr>
      </w:pPr>
    </w:p>
    <w:p w14:paraId="5B666283" w14:textId="77777777" w:rsidR="000531E1" w:rsidRPr="00BB36A5" w:rsidRDefault="000531E1" w:rsidP="000531E1">
      <w:pPr>
        <w:pStyle w:val="Default"/>
        <w:spacing w:after="9"/>
        <w:ind w:left="360"/>
        <w:jc w:val="both"/>
        <w:rPr>
          <w:rFonts w:asciiTheme="majorHAnsi" w:hAnsiTheme="majorHAnsi" w:cstheme="majorHAnsi"/>
          <w:color w:val="000000" w:themeColor="text1"/>
          <w:lang w:val="es-PR"/>
        </w:rPr>
      </w:pPr>
    </w:p>
    <w:p w14:paraId="1324D009" w14:textId="77777777" w:rsidR="000531E1" w:rsidRPr="00BB36A5" w:rsidRDefault="000531E1" w:rsidP="00342E9E">
      <w:pPr>
        <w:pStyle w:val="Default"/>
        <w:numPr>
          <w:ilvl w:val="0"/>
          <w:numId w:val="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lastRenderedPageBreak/>
        <w:t>Escuelas Privadas:</w:t>
      </w:r>
    </w:p>
    <w:p w14:paraId="2A6EEEFA" w14:textId="3510B3CE" w:rsidR="000531E1" w:rsidRPr="00BB36A5" w:rsidRDefault="000531E1" w:rsidP="000531E1">
      <w:pPr>
        <w:pStyle w:val="Default"/>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Para las escuelas privadas, la División de Servicios Equitativos (DSE)</w:t>
      </w:r>
      <w:r w:rsidR="00123430"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en colaboración con el </w:t>
      </w:r>
      <w:r w:rsidR="00123430"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de </w:t>
      </w:r>
      <w:proofErr w:type="spellStart"/>
      <w:r w:rsidRPr="00BB36A5">
        <w:rPr>
          <w:rFonts w:asciiTheme="majorHAnsi" w:hAnsiTheme="majorHAnsi" w:cstheme="majorHAnsi"/>
          <w:i/>
          <w:iCs/>
          <w:color w:val="000000" w:themeColor="text1"/>
          <w:lang w:val="es-PR"/>
        </w:rPr>
        <w:t>Res</w:t>
      </w:r>
      <w:r w:rsidR="00AE0C85" w:rsidRPr="00BB36A5">
        <w:rPr>
          <w:rFonts w:asciiTheme="majorHAnsi" w:hAnsiTheme="majorHAnsi" w:cstheme="majorHAnsi"/>
          <w:i/>
          <w:iCs/>
          <w:color w:val="000000" w:themeColor="text1"/>
          <w:lang w:val="es-PR"/>
        </w:rPr>
        <w:t>t</w:t>
      </w:r>
      <w:r w:rsidRPr="00BB36A5">
        <w:rPr>
          <w:rFonts w:asciiTheme="majorHAnsi" w:hAnsiTheme="majorHAnsi" w:cstheme="majorHAnsi"/>
          <w:i/>
          <w:iCs/>
          <w:color w:val="000000" w:themeColor="text1"/>
          <w:lang w:val="es-PR"/>
        </w:rPr>
        <w:t>art</w:t>
      </w:r>
      <w:proofErr w:type="spellEnd"/>
      <w:r w:rsidR="00123430"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 xml:space="preserve"> realiza una Evaluación de Riesgos después de que se lleve a cabo el proceso de monitoreo federal virtual.  El DEPR ha seleccionado un grupo de escuelas que serán monitoreadas </w:t>
      </w:r>
      <w:r w:rsidR="00A34123" w:rsidRPr="00BB36A5">
        <w:rPr>
          <w:rFonts w:asciiTheme="majorHAnsi" w:hAnsiTheme="majorHAnsi" w:cstheme="majorHAnsi"/>
          <w:color w:val="000000" w:themeColor="text1"/>
          <w:lang w:val="es-PR"/>
        </w:rPr>
        <w:t xml:space="preserve">enfatizando </w:t>
      </w:r>
      <w:r w:rsidRPr="00BB36A5">
        <w:rPr>
          <w:rFonts w:asciiTheme="majorHAnsi" w:hAnsiTheme="majorHAnsi" w:cstheme="majorHAnsi"/>
          <w:color w:val="000000" w:themeColor="text1"/>
          <w:lang w:val="es-PR"/>
        </w:rPr>
        <w:t>las escuelas con el presupuesto más alto a partir de septiembre de 2020 junto con aquell</w:t>
      </w:r>
      <w:r w:rsidR="00A34123"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s con la mayor diversidad de objetos de gasto aprobados (</w:t>
      </w:r>
      <w:r w:rsidR="00DA0D2F" w:rsidRPr="00BB36A5">
        <w:rPr>
          <w:rFonts w:asciiTheme="majorHAnsi" w:hAnsiTheme="majorHAnsi" w:cstheme="majorHAnsi"/>
          <w:color w:val="000000" w:themeColor="text1"/>
          <w:lang w:val="es-PR"/>
        </w:rPr>
        <w:t>2-6</w:t>
      </w:r>
      <w:r w:rsidRPr="00BB36A5">
        <w:rPr>
          <w:rFonts w:asciiTheme="majorHAnsi" w:hAnsiTheme="majorHAnsi" w:cstheme="majorHAnsi"/>
          <w:color w:val="000000" w:themeColor="text1"/>
          <w:lang w:val="es-PR"/>
        </w:rPr>
        <w:t xml:space="preserve"> objetos), además de l</w:t>
      </w:r>
      <w:r w:rsidR="00123430"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s que fueron "apoyad</w:t>
      </w:r>
      <w:r w:rsidR="00A34123"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s" por una firma de abogados y presentaron </w:t>
      </w:r>
      <w:r w:rsidR="00A34123" w:rsidRPr="00BB36A5">
        <w:rPr>
          <w:rFonts w:asciiTheme="majorHAnsi" w:hAnsiTheme="majorHAnsi" w:cstheme="majorHAnsi"/>
          <w:color w:val="000000" w:themeColor="text1"/>
          <w:lang w:val="es-PR"/>
        </w:rPr>
        <w:t xml:space="preserve">originalmente </w:t>
      </w:r>
      <w:r w:rsidRPr="00BB36A5">
        <w:rPr>
          <w:rFonts w:asciiTheme="majorHAnsi" w:hAnsiTheme="majorHAnsi" w:cstheme="majorHAnsi"/>
          <w:color w:val="000000" w:themeColor="text1"/>
          <w:lang w:val="es-PR"/>
        </w:rPr>
        <w:t xml:space="preserve">exactamente las mismas solicitudes. La muestra también incluye una selección aleatoria de escuelas que presentaron quejas relacionadas con el </w:t>
      </w:r>
      <w:r w:rsidR="00123430"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w:t>
      </w:r>
      <w:proofErr w:type="spellStart"/>
      <w:r w:rsidR="00A34123"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a</w:t>
      </w:r>
      <w:r w:rsidR="00A34123" w:rsidRPr="00BB36A5">
        <w:rPr>
          <w:rFonts w:asciiTheme="majorHAnsi" w:hAnsiTheme="majorHAnsi" w:cstheme="majorHAnsi"/>
          <w:color w:val="000000" w:themeColor="text1"/>
          <w:lang w:val="es-PR"/>
        </w:rPr>
        <w:t xml:space="preserve"> la Oficina de Ombudsman</w:t>
      </w:r>
      <w:r w:rsidRPr="00BB36A5">
        <w:rPr>
          <w:rFonts w:asciiTheme="majorHAnsi" w:hAnsiTheme="majorHAnsi" w:cstheme="majorHAnsi"/>
          <w:color w:val="000000" w:themeColor="text1"/>
          <w:lang w:val="es-PR"/>
        </w:rPr>
        <w:t xml:space="preserve"> de</w:t>
      </w:r>
      <w:r w:rsidR="00A34123"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PRDE. Esta muestra </w:t>
      </w:r>
      <w:r w:rsidR="00A34123" w:rsidRPr="00BB36A5">
        <w:rPr>
          <w:rFonts w:asciiTheme="majorHAnsi" w:hAnsiTheme="majorHAnsi" w:cstheme="majorHAnsi"/>
          <w:color w:val="000000" w:themeColor="text1"/>
          <w:lang w:val="es-PR"/>
        </w:rPr>
        <w:t>fue compuesta por</w:t>
      </w:r>
      <w:r w:rsidRPr="00BB36A5">
        <w:rPr>
          <w:rFonts w:asciiTheme="majorHAnsi" w:hAnsiTheme="majorHAnsi" w:cstheme="majorHAnsi"/>
          <w:color w:val="000000" w:themeColor="text1"/>
          <w:lang w:val="es-PR"/>
        </w:rPr>
        <w:t xml:space="preserve"> 27 escuelas (adjunt</w:t>
      </w:r>
      <w:r w:rsidR="00A34123" w:rsidRPr="00BB36A5">
        <w:rPr>
          <w:rFonts w:asciiTheme="majorHAnsi" w:hAnsiTheme="majorHAnsi" w:cstheme="majorHAnsi"/>
          <w:color w:val="000000" w:themeColor="text1"/>
          <w:lang w:val="es-PR"/>
        </w:rPr>
        <w:t>o se</w:t>
      </w:r>
      <w:r w:rsidRPr="00BB36A5">
        <w:rPr>
          <w:rFonts w:asciiTheme="majorHAnsi" w:hAnsiTheme="majorHAnsi" w:cstheme="majorHAnsi"/>
          <w:color w:val="000000" w:themeColor="text1"/>
          <w:lang w:val="es-PR"/>
        </w:rPr>
        <w:t xml:space="preserve"> encuentr</w:t>
      </w:r>
      <w:r w:rsidR="00A34123"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la lista de </w:t>
      </w:r>
      <w:r w:rsidR="00A34123"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 xml:space="preserve">escuelas y </w:t>
      </w:r>
      <w:r w:rsidR="00DA0D2F" w:rsidRPr="00BB36A5">
        <w:rPr>
          <w:rFonts w:asciiTheme="majorHAnsi" w:hAnsiTheme="majorHAnsi" w:cstheme="majorHAnsi"/>
          <w:color w:val="000000" w:themeColor="text1"/>
          <w:lang w:val="es-PR"/>
        </w:rPr>
        <w:t>factores</w:t>
      </w:r>
      <w:r w:rsidRPr="00BB36A5">
        <w:rPr>
          <w:rFonts w:asciiTheme="majorHAnsi" w:hAnsiTheme="majorHAnsi" w:cstheme="majorHAnsi"/>
          <w:color w:val="000000" w:themeColor="text1"/>
          <w:lang w:val="es-PR"/>
        </w:rPr>
        <w:t xml:space="preserve"> tomados en consideración para la evaluación de riesgos realizada</w:t>
      </w:r>
      <w:r w:rsidR="00DA0D2F" w:rsidRPr="00BB36A5">
        <w:rPr>
          <w:rFonts w:asciiTheme="majorHAnsi" w:hAnsiTheme="majorHAnsi" w:cstheme="majorHAnsi"/>
          <w:color w:val="000000" w:themeColor="text1"/>
          <w:lang w:val="es-PR"/>
        </w:rPr>
        <w:t xml:space="preserve"> con</w:t>
      </w:r>
      <w:r w:rsidR="00577C0A" w:rsidRPr="00BB36A5">
        <w:rPr>
          <w:rFonts w:asciiTheme="majorHAnsi" w:hAnsiTheme="majorHAnsi" w:cstheme="majorHAnsi"/>
          <w:color w:val="000000" w:themeColor="text1"/>
          <w:lang w:val="es-PR"/>
        </w:rPr>
        <w:t xml:space="preserve"> un</w:t>
      </w:r>
      <w:r w:rsidR="00DA0D2F" w:rsidRPr="00BB36A5">
        <w:rPr>
          <w:rFonts w:asciiTheme="majorHAnsi" w:hAnsiTheme="majorHAnsi" w:cstheme="majorHAnsi"/>
          <w:color w:val="000000" w:themeColor="text1"/>
          <w:lang w:val="es-PR"/>
        </w:rPr>
        <w:t xml:space="preserve"> proceso </w:t>
      </w:r>
      <w:r w:rsidR="00577C0A" w:rsidRPr="00BB36A5">
        <w:rPr>
          <w:rFonts w:asciiTheme="majorHAnsi" w:hAnsiTheme="majorHAnsi" w:cstheme="majorHAnsi"/>
          <w:color w:val="000000" w:themeColor="text1"/>
          <w:lang w:val="es-PR"/>
        </w:rPr>
        <w:t xml:space="preserve">seguido </w:t>
      </w:r>
      <w:r w:rsidR="00DA0D2F" w:rsidRPr="00BB36A5">
        <w:rPr>
          <w:rFonts w:asciiTheme="majorHAnsi" w:hAnsiTheme="majorHAnsi" w:cstheme="majorHAnsi"/>
          <w:color w:val="000000" w:themeColor="text1"/>
          <w:lang w:val="es-PR"/>
        </w:rPr>
        <w:t>paso a paso</w:t>
      </w:r>
      <w:r w:rsidR="00A3412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w:t>
      </w:r>
    </w:p>
    <w:p w14:paraId="1A0497FB" w14:textId="3D47321B" w:rsidR="00972576" w:rsidRPr="00BB36A5" w:rsidRDefault="00972576" w:rsidP="000531E1">
      <w:pPr>
        <w:pStyle w:val="Default"/>
        <w:spacing w:after="9"/>
        <w:ind w:left="360"/>
        <w:jc w:val="both"/>
        <w:rPr>
          <w:rFonts w:asciiTheme="majorHAnsi" w:hAnsiTheme="majorHAnsi" w:cstheme="majorHAnsi"/>
          <w:color w:val="000000" w:themeColor="text1"/>
          <w:lang w:val="es-PR"/>
        </w:rPr>
      </w:pPr>
    </w:p>
    <w:p w14:paraId="6F59F8F1" w14:textId="581389A8" w:rsidR="00972576" w:rsidRPr="00BB36A5" w:rsidRDefault="00972576" w:rsidP="000531E1">
      <w:pPr>
        <w:pStyle w:val="Default"/>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 lista de las escuelas seleccionadas se proveyó al proveedor externo y</w:t>
      </w:r>
      <w:r w:rsidR="00625D5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debido al distanciamiento social por COVID</w:t>
      </w:r>
      <w:r w:rsidR="00625D5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19 y otras medidas de salud</w:t>
      </w:r>
      <w:r w:rsidR="00625D5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el DEPR y la empresa de monitor</w:t>
      </w:r>
      <w:r w:rsidR="00B85837"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acordaron el monitoreo a distancia de las 27 escuelas seleccionadas. </w:t>
      </w:r>
      <w:r w:rsidR="00B85837" w:rsidRPr="00BB36A5">
        <w:rPr>
          <w:rFonts w:asciiTheme="majorHAnsi" w:hAnsiTheme="majorHAnsi" w:cstheme="majorHAnsi"/>
          <w:color w:val="000000" w:themeColor="text1"/>
          <w:lang w:val="es-PR"/>
        </w:rPr>
        <w:t>La</w:t>
      </w:r>
      <w:r w:rsidRPr="00BB36A5">
        <w:rPr>
          <w:rFonts w:asciiTheme="majorHAnsi" w:hAnsiTheme="majorHAnsi" w:cstheme="majorHAnsi"/>
          <w:color w:val="000000" w:themeColor="text1"/>
          <w:lang w:val="es-PR"/>
        </w:rPr>
        <w:t xml:space="preserve"> monitor</w:t>
      </w:r>
      <w:r w:rsidR="00B85837"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w:t>
      </w:r>
      <w:r w:rsidR="00B85837" w:rsidRPr="00BB36A5">
        <w:rPr>
          <w:rFonts w:asciiTheme="majorHAnsi" w:hAnsiTheme="majorHAnsi" w:cstheme="majorHAnsi"/>
          <w:color w:val="000000" w:themeColor="text1"/>
          <w:lang w:val="es-PR"/>
        </w:rPr>
        <w:t>a distancia</w:t>
      </w:r>
      <w:r w:rsidRPr="00BB36A5">
        <w:rPr>
          <w:rFonts w:asciiTheme="majorHAnsi" w:hAnsiTheme="majorHAnsi" w:cstheme="majorHAnsi"/>
          <w:color w:val="000000" w:themeColor="text1"/>
          <w:lang w:val="es-PR"/>
        </w:rPr>
        <w:t xml:space="preserve"> era la mejor opción para asegurarnos de que </w:t>
      </w:r>
      <w:r w:rsidR="00B85837" w:rsidRPr="00BB36A5">
        <w:rPr>
          <w:rFonts w:asciiTheme="majorHAnsi" w:hAnsiTheme="majorHAnsi" w:cstheme="majorHAnsi"/>
          <w:color w:val="000000" w:themeColor="text1"/>
          <w:lang w:val="es-PR"/>
        </w:rPr>
        <w:t xml:space="preserve">se </w:t>
      </w:r>
      <w:r w:rsidRPr="00BB36A5">
        <w:rPr>
          <w:rFonts w:asciiTheme="majorHAnsi" w:hAnsiTheme="majorHAnsi" w:cstheme="majorHAnsi"/>
          <w:color w:val="000000" w:themeColor="text1"/>
          <w:lang w:val="es-PR"/>
        </w:rPr>
        <w:t>continu</w:t>
      </w:r>
      <w:r w:rsidR="00B85837" w:rsidRPr="00BB36A5">
        <w:rPr>
          <w:rFonts w:asciiTheme="majorHAnsi" w:hAnsiTheme="majorHAnsi" w:cstheme="majorHAnsi"/>
          <w:color w:val="000000" w:themeColor="text1"/>
          <w:lang w:val="es-PR"/>
        </w:rPr>
        <w:t>aran</w:t>
      </w:r>
      <w:r w:rsidRPr="00BB36A5">
        <w:rPr>
          <w:rFonts w:asciiTheme="majorHAnsi" w:hAnsiTheme="majorHAnsi" w:cstheme="majorHAnsi"/>
          <w:color w:val="000000" w:themeColor="text1"/>
          <w:lang w:val="es-PR"/>
        </w:rPr>
        <w:t xml:space="preserve"> con las actividades de monitoreo durante la pandemia</w:t>
      </w:r>
      <w:r w:rsidR="00625D5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ya que muchas escuelas </w:t>
      </w:r>
      <w:r w:rsidR="00B85837" w:rsidRPr="00BB36A5">
        <w:rPr>
          <w:rFonts w:asciiTheme="majorHAnsi" w:hAnsiTheme="majorHAnsi" w:cstheme="majorHAnsi"/>
          <w:color w:val="000000" w:themeColor="text1"/>
          <w:lang w:val="es-PR"/>
        </w:rPr>
        <w:t>privadas</w:t>
      </w:r>
      <w:r w:rsidRPr="00BB36A5">
        <w:rPr>
          <w:rFonts w:asciiTheme="majorHAnsi" w:hAnsiTheme="majorHAnsi" w:cstheme="majorHAnsi"/>
          <w:color w:val="000000" w:themeColor="text1"/>
          <w:lang w:val="es-PR"/>
        </w:rPr>
        <w:t xml:space="preserve"> permanecen cerradas, parcialmente cerradas o pro</w:t>
      </w:r>
      <w:r w:rsidR="00B85837" w:rsidRPr="00BB36A5">
        <w:rPr>
          <w:rFonts w:asciiTheme="majorHAnsi" w:hAnsiTheme="majorHAnsi" w:cstheme="majorHAnsi"/>
          <w:color w:val="000000" w:themeColor="text1"/>
          <w:lang w:val="es-PR"/>
        </w:rPr>
        <w:t>veyendo</w:t>
      </w:r>
      <w:r w:rsidRPr="00BB36A5">
        <w:rPr>
          <w:rFonts w:asciiTheme="majorHAnsi" w:hAnsiTheme="majorHAnsi" w:cstheme="majorHAnsi"/>
          <w:color w:val="000000" w:themeColor="text1"/>
          <w:lang w:val="es-PR"/>
        </w:rPr>
        <w:t xml:space="preserve"> educación a distancia (sin visitas de personas externas permitidas como </w:t>
      </w:r>
      <w:r w:rsidR="00B85837" w:rsidRPr="00BB36A5">
        <w:rPr>
          <w:rFonts w:asciiTheme="majorHAnsi" w:hAnsiTheme="majorHAnsi" w:cstheme="majorHAnsi"/>
          <w:color w:val="000000" w:themeColor="text1"/>
          <w:lang w:val="es-PR"/>
        </w:rPr>
        <w:t xml:space="preserve">medida de </w:t>
      </w:r>
      <w:r w:rsidRPr="00BB36A5">
        <w:rPr>
          <w:rFonts w:asciiTheme="majorHAnsi" w:hAnsiTheme="majorHAnsi" w:cstheme="majorHAnsi"/>
          <w:color w:val="000000" w:themeColor="text1"/>
          <w:lang w:val="es-PR"/>
        </w:rPr>
        <w:t>precaución</w:t>
      </w:r>
      <w:r w:rsidR="00052D8F" w:rsidRPr="00BB36A5">
        <w:rPr>
          <w:rFonts w:asciiTheme="majorHAnsi" w:hAnsiTheme="majorHAnsi" w:cstheme="majorHAnsi"/>
          <w:color w:val="000000" w:themeColor="text1"/>
          <w:lang w:val="es-PR"/>
        </w:rPr>
        <w:t xml:space="preserve"> y medidas de distanciamiento social</w:t>
      </w:r>
      <w:r w:rsidRPr="00BB36A5">
        <w:rPr>
          <w:rFonts w:asciiTheme="majorHAnsi" w:hAnsiTheme="majorHAnsi" w:cstheme="majorHAnsi"/>
          <w:color w:val="000000" w:themeColor="text1"/>
          <w:lang w:val="es-PR"/>
        </w:rPr>
        <w:t>). Después de la selección de las escuelas</w:t>
      </w:r>
      <w:r w:rsidR="00625D53"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el proveedor externo a cargo de la </w:t>
      </w:r>
      <w:r w:rsidR="00B85837" w:rsidRPr="00BB36A5">
        <w:rPr>
          <w:rFonts w:asciiTheme="majorHAnsi" w:hAnsiTheme="majorHAnsi" w:cstheme="majorHAnsi"/>
          <w:color w:val="000000" w:themeColor="text1"/>
          <w:lang w:val="es-PR"/>
        </w:rPr>
        <w:t>monitoria</w:t>
      </w:r>
      <w:r w:rsidRPr="00BB36A5">
        <w:rPr>
          <w:rFonts w:asciiTheme="majorHAnsi" w:hAnsiTheme="majorHAnsi" w:cstheme="majorHAnsi"/>
          <w:color w:val="000000" w:themeColor="text1"/>
          <w:lang w:val="es-PR"/>
        </w:rPr>
        <w:t xml:space="preserve"> se reunió con la </w:t>
      </w:r>
      <w:r w:rsidR="00B85837" w:rsidRPr="00BB36A5">
        <w:rPr>
          <w:rFonts w:asciiTheme="majorHAnsi" w:hAnsiTheme="majorHAnsi" w:cstheme="majorHAnsi"/>
          <w:color w:val="000000" w:themeColor="text1"/>
          <w:lang w:val="es-PR"/>
        </w:rPr>
        <w:t>DSE</w:t>
      </w:r>
      <w:r w:rsidRPr="00BB36A5">
        <w:rPr>
          <w:rFonts w:asciiTheme="majorHAnsi" w:hAnsiTheme="majorHAnsi" w:cstheme="majorHAnsi"/>
          <w:color w:val="000000" w:themeColor="text1"/>
          <w:lang w:val="es-PR"/>
        </w:rPr>
        <w:t xml:space="preserve"> para discutir los procedimientos llevados a cabo en el caso de</w:t>
      </w:r>
      <w:r w:rsidR="00B85837" w:rsidRPr="00BB36A5">
        <w:rPr>
          <w:rFonts w:asciiTheme="majorHAnsi" w:hAnsiTheme="majorHAnsi" w:cstheme="majorHAnsi"/>
          <w:color w:val="000000" w:themeColor="text1"/>
          <w:lang w:val="es-PR"/>
        </w:rPr>
        <w:t xml:space="preserve"> las escuelas privadas</w:t>
      </w:r>
      <w:r w:rsidRPr="00BB36A5">
        <w:rPr>
          <w:rFonts w:asciiTheme="majorHAnsi" w:hAnsiTheme="majorHAnsi" w:cstheme="majorHAnsi"/>
          <w:color w:val="000000" w:themeColor="text1"/>
          <w:lang w:val="es-PR"/>
        </w:rPr>
        <w:t xml:space="preserve"> para la documentación y la etapa de planificación de </w:t>
      </w:r>
      <w:r w:rsidR="00B85837" w:rsidRPr="00BB36A5">
        <w:rPr>
          <w:rFonts w:asciiTheme="majorHAnsi" w:hAnsiTheme="majorHAnsi" w:cstheme="majorHAnsi"/>
          <w:color w:val="000000" w:themeColor="text1"/>
          <w:lang w:val="es-PR"/>
        </w:rPr>
        <w:t>monitoria;</w:t>
      </w:r>
      <w:r w:rsidRPr="00BB36A5">
        <w:rPr>
          <w:rFonts w:asciiTheme="majorHAnsi" w:hAnsiTheme="majorHAnsi" w:cstheme="majorHAnsi"/>
          <w:color w:val="000000" w:themeColor="text1"/>
          <w:lang w:val="es-PR"/>
        </w:rPr>
        <w:t xml:space="preserve"> y recopiló toda la información y documentos necesarios.  </w:t>
      </w:r>
      <w:r w:rsidR="00B85837" w:rsidRPr="00BB36A5">
        <w:rPr>
          <w:rFonts w:asciiTheme="majorHAnsi" w:hAnsiTheme="majorHAnsi" w:cstheme="majorHAnsi"/>
          <w:color w:val="000000" w:themeColor="text1"/>
          <w:lang w:val="es-PR"/>
        </w:rPr>
        <w:t xml:space="preserve">El </w:t>
      </w:r>
      <w:r w:rsidRPr="00BB36A5">
        <w:rPr>
          <w:rFonts w:asciiTheme="majorHAnsi" w:hAnsiTheme="majorHAnsi" w:cstheme="majorHAnsi"/>
          <w:color w:val="000000" w:themeColor="text1"/>
          <w:lang w:val="es-PR"/>
        </w:rPr>
        <w:t>DE</w:t>
      </w:r>
      <w:r w:rsidR="00B85837"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ha estado escaneando los archivos</w:t>
      </w:r>
      <w:r w:rsidR="00B85837" w:rsidRPr="00BB36A5">
        <w:rPr>
          <w:rFonts w:asciiTheme="majorHAnsi" w:hAnsiTheme="majorHAnsi" w:cstheme="majorHAnsi"/>
          <w:color w:val="000000" w:themeColor="text1"/>
          <w:lang w:val="es-PR"/>
        </w:rPr>
        <w:t xml:space="preserve"> y documentos</w:t>
      </w:r>
      <w:r w:rsidRPr="00BB36A5">
        <w:rPr>
          <w:rFonts w:asciiTheme="majorHAnsi" w:hAnsiTheme="majorHAnsi" w:cstheme="majorHAnsi"/>
          <w:color w:val="000000" w:themeColor="text1"/>
          <w:lang w:val="es-PR"/>
        </w:rPr>
        <w:t xml:space="preserve"> de las escuelas</w:t>
      </w:r>
      <w:r w:rsidR="00B85837" w:rsidRPr="00BB36A5">
        <w:rPr>
          <w:rFonts w:asciiTheme="majorHAnsi" w:hAnsiTheme="majorHAnsi" w:cstheme="majorHAnsi"/>
          <w:color w:val="000000" w:themeColor="text1"/>
          <w:lang w:val="es-PR"/>
        </w:rPr>
        <w:t xml:space="preserve"> privadas</w:t>
      </w:r>
      <w:r w:rsidRPr="00BB36A5">
        <w:rPr>
          <w:rFonts w:asciiTheme="majorHAnsi" w:hAnsiTheme="majorHAnsi" w:cstheme="majorHAnsi"/>
          <w:color w:val="000000" w:themeColor="text1"/>
          <w:lang w:val="es-PR"/>
        </w:rPr>
        <w:t xml:space="preserve"> y proporcionándolos al equipo de monitor</w:t>
      </w:r>
      <w:r w:rsidR="00B85837"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para que puedan seguir monitoreando los trabajos.</w:t>
      </w:r>
    </w:p>
    <w:p w14:paraId="7425BD96" w14:textId="66E70D4A" w:rsidR="00D5554F" w:rsidRPr="00BB36A5" w:rsidRDefault="00D5554F" w:rsidP="000531E1">
      <w:pPr>
        <w:pStyle w:val="Default"/>
        <w:spacing w:after="9"/>
        <w:ind w:left="360"/>
        <w:jc w:val="both"/>
        <w:rPr>
          <w:rFonts w:asciiTheme="majorHAnsi" w:hAnsiTheme="majorHAnsi" w:cstheme="majorHAnsi"/>
          <w:color w:val="000000" w:themeColor="text1"/>
          <w:lang w:val="es-PR"/>
        </w:rPr>
      </w:pPr>
    </w:p>
    <w:p w14:paraId="54BA1D1F" w14:textId="73C068A1" w:rsidR="000531E1" w:rsidRPr="00BB36A5" w:rsidRDefault="00D5554F" w:rsidP="00BC204C">
      <w:pPr>
        <w:pStyle w:val="Default"/>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En el caso de las escuelas privadas, el proveedor externo entiende que puede completar los esfuerzos de monitoria y proporcionar una carta con hallazgos o señalamientos a finales de julio de 2021, si el DEPR provee todos los archivos, accesos y documentación en un tiempo razonable. El DEPR comenzará inmediatamente a trabajar con cualquier falta de información, falta de documentos, deficiencia o incumplimiento observado y responderá en o antes de un mes al monitor externo para su consideración y la comunicación final por escrit</w:t>
      </w:r>
      <w:r w:rsidR="0082328E" w:rsidRPr="00BB36A5">
        <w:rPr>
          <w:rFonts w:asciiTheme="majorHAnsi" w:hAnsiTheme="majorHAnsi" w:cstheme="majorHAnsi"/>
          <w:color w:val="000000" w:themeColor="text1"/>
          <w:lang w:val="es-PR"/>
        </w:rPr>
        <w:t>o</w:t>
      </w:r>
      <w:r w:rsidRPr="00BB36A5">
        <w:rPr>
          <w:rFonts w:asciiTheme="majorHAnsi" w:hAnsiTheme="majorHAnsi" w:cstheme="majorHAnsi"/>
          <w:color w:val="000000" w:themeColor="text1"/>
          <w:lang w:val="es-PR"/>
        </w:rPr>
        <w:t xml:space="preserve">.  </w:t>
      </w:r>
    </w:p>
    <w:p w14:paraId="1DB5123E" w14:textId="77777777" w:rsidR="000531E1" w:rsidRPr="00BB36A5" w:rsidRDefault="000531E1" w:rsidP="000531E1">
      <w:pPr>
        <w:pStyle w:val="Default"/>
        <w:spacing w:after="9"/>
        <w:ind w:left="360"/>
        <w:jc w:val="both"/>
        <w:rPr>
          <w:rFonts w:asciiTheme="majorHAnsi" w:hAnsiTheme="majorHAnsi" w:cstheme="majorHAnsi"/>
          <w:color w:val="000000" w:themeColor="text1"/>
          <w:lang w:val="es-PR"/>
        </w:rPr>
      </w:pPr>
    </w:p>
    <w:p w14:paraId="4340194F" w14:textId="592537CB" w:rsidR="00036B8E" w:rsidRPr="00BB36A5" w:rsidRDefault="002C0E6B" w:rsidP="00BC204C">
      <w:pPr>
        <w:pStyle w:val="Default"/>
        <w:numPr>
          <w:ilvl w:val="0"/>
          <w:numId w:val="1"/>
        </w:numPr>
        <w:spacing w:after="9" w:line="259" w:lineRule="auto"/>
        <w:ind w:left="360"/>
        <w:jc w:val="both"/>
        <w:rPr>
          <w:rFonts w:asciiTheme="majorHAnsi" w:hAnsiTheme="majorHAnsi" w:cstheme="majorHAnsi"/>
          <w:color w:val="000000" w:themeColor="text1"/>
          <w:lang w:val="es-PR"/>
        </w:rPr>
      </w:pPr>
      <w:r w:rsidRPr="00BB36A5">
        <w:rPr>
          <w:rFonts w:asciiTheme="majorHAnsi" w:hAnsiTheme="majorHAnsi" w:cstheme="majorHAnsi"/>
          <w:noProof/>
          <w:color w:val="1FA7AF"/>
        </w:rPr>
        <w:drawing>
          <wp:anchor distT="0" distB="0" distL="114300" distR="114300" simplePos="0" relativeHeight="251665408" behindDoc="1" locked="0" layoutInCell="1" allowOverlap="1" wp14:anchorId="7A6E22BC" wp14:editId="1A8CC3EF">
            <wp:simplePos x="0" y="0"/>
            <wp:positionH relativeFrom="column">
              <wp:posOffset>279400</wp:posOffset>
            </wp:positionH>
            <wp:positionV relativeFrom="paragraph">
              <wp:posOffset>233680</wp:posOffset>
            </wp:positionV>
            <wp:extent cx="721360" cy="929640"/>
            <wp:effectExtent l="0" t="0" r="2540" b="3810"/>
            <wp:wrapTight wrapText="bothSides">
              <wp:wrapPolygon edited="0">
                <wp:start x="0" y="0"/>
                <wp:lineTo x="0" y="21246"/>
                <wp:lineTo x="21106" y="21246"/>
                <wp:lineTo x="21106" y="0"/>
                <wp:lineTo x="0" y="0"/>
              </wp:wrapPolygon>
            </wp:wrapTight>
            <wp:docPr id="4" name="Picture 4" descr="https://de.pr.gov/wp-content/uploads/2019/08/oig-frau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pr.gov/wp-content/uploads/2019/08/oig-fraud.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36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36F" w:rsidRPr="00BB36A5">
        <w:rPr>
          <w:rFonts w:asciiTheme="majorHAnsi" w:hAnsiTheme="majorHAnsi" w:cstheme="majorHAnsi"/>
          <w:color w:val="000000" w:themeColor="text1"/>
          <w:lang w:val="es-PR"/>
        </w:rPr>
        <w:t xml:space="preserve">Como otra forma de identificar el riesgo, el DEPR creó una dirección de correo electrónico: </w:t>
      </w:r>
      <w:r w:rsidRPr="00BB36A5">
        <w:rPr>
          <w:rFonts w:asciiTheme="majorHAnsi" w:hAnsiTheme="majorHAnsi" w:cstheme="majorHAnsi"/>
          <w:color w:val="0078D7"/>
          <w:lang w:val="es-PR"/>
        </w:rPr>
        <w:t>frauderestart@de.pr.gov</w:t>
      </w:r>
      <w:r w:rsidRPr="00BB36A5">
        <w:rPr>
          <w:rFonts w:asciiTheme="majorHAnsi" w:hAnsiTheme="majorHAnsi" w:cstheme="majorHAnsi"/>
          <w:color w:val="000000" w:themeColor="text1"/>
          <w:lang w:val="es-PR"/>
        </w:rPr>
        <w:t xml:space="preserve"> </w:t>
      </w:r>
      <w:r w:rsidR="00036B8E" w:rsidRPr="00BB36A5">
        <w:rPr>
          <w:rFonts w:asciiTheme="majorHAnsi" w:hAnsiTheme="majorHAnsi" w:cstheme="majorHAnsi"/>
          <w:color w:val="000000" w:themeColor="text1"/>
          <w:lang w:val="es-PR"/>
        </w:rPr>
        <w:t>y la public</w:t>
      </w:r>
      <w:r w:rsidR="00625D53" w:rsidRPr="00BB36A5">
        <w:rPr>
          <w:rFonts w:asciiTheme="majorHAnsi" w:hAnsiTheme="majorHAnsi" w:cstheme="majorHAnsi"/>
          <w:color w:val="000000" w:themeColor="text1"/>
          <w:lang w:val="es-PR"/>
        </w:rPr>
        <w:t>ó</w:t>
      </w:r>
      <w:r w:rsidR="00036B8E" w:rsidRPr="00BB36A5">
        <w:rPr>
          <w:rFonts w:asciiTheme="majorHAnsi" w:hAnsiTheme="majorHAnsi" w:cstheme="majorHAnsi"/>
          <w:color w:val="000000" w:themeColor="text1"/>
          <w:lang w:val="es-PR"/>
        </w:rPr>
        <w:t xml:space="preserve"> en su </w:t>
      </w:r>
      <w:r w:rsidR="00806701" w:rsidRPr="00BB36A5">
        <w:rPr>
          <w:rFonts w:asciiTheme="majorHAnsi" w:hAnsiTheme="majorHAnsi" w:cstheme="majorHAnsi"/>
          <w:color w:val="000000" w:themeColor="text1"/>
          <w:lang w:val="es-PR"/>
        </w:rPr>
        <w:t>página</w:t>
      </w:r>
      <w:r w:rsidR="00036B8E" w:rsidRPr="00BB36A5">
        <w:rPr>
          <w:rFonts w:asciiTheme="majorHAnsi" w:hAnsiTheme="majorHAnsi" w:cstheme="majorHAnsi"/>
          <w:color w:val="000000" w:themeColor="text1"/>
          <w:lang w:val="es-PR"/>
        </w:rPr>
        <w:t xml:space="preserve"> </w:t>
      </w:r>
      <w:r w:rsidR="00036B8E" w:rsidRPr="00BB36A5">
        <w:rPr>
          <w:rFonts w:asciiTheme="majorHAnsi" w:hAnsiTheme="majorHAnsi" w:cstheme="majorHAnsi"/>
          <w:i/>
          <w:iCs/>
          <w:color w:val="000000" w:themeColor="text1"/>
          <w:lang w:val="es-PR"/>
        </w:rPr>
        <w:t>web</w:t>
      </w:r>
      <w:r w:rsidRPr="00BB36A5">
        <w:rPr>
          <w:rFonts w:asciiTheme="majorHAnsi" w:hAnsiTheme="majorHAnsi" w:cstheme="majorHAnsi"/>
          <w:color w:val="000000" w:themeColor="text1"/>
          <w:lang w:val="es-PR"/>
        </w:rPr>
        <w:t xml:space="preserve"> </w:t>
      </w:r>
      <w:r w:rsidR="00036B8E" w:rsidRPr="00BB36A5">
        <w:rPr>
          <w:rFonts w:asciiTheme="majorHAnsi" w:hAnsiTheme="majorHAnsi" w:cstheme="majorHAnsi"/>
          <w:color w:val="000000" w:themeColor="text1"/>
          <w:lang w:val="es-PR"/>
        </w:rPr>
        <w:t>para denunciar fraudes, despilfarros, abusos y para cualquier persona poder proveer al DEPR la oportunidad de informar situaciones o alguna actividad concerniente. Cualquier información obtenida a través de este correo electrónico será considerada en la evaluación de riesgos.  Además, se han coloca carteles en varias de las oficinas de SAAF.</w:t>
      </w:r>
    </w:p>
    <w:p w14:paraId="4AED36B6" w14:textId="77777777" w:rsidR="002C0E6B" w:rsidRPr="00BB36A5" w:rsidRDefault="002C0E6B" w:rsidP="00D35AEE">
      <w:pPr>
        <w:pStyle w:val="Default"/>
        <w:spacing w:after="9"/>
        <w:ind w:left="720"/>
        <w:jc w:val="both"/>
        <w:rPr>
          <w:rFonts w:asciiTheme="majorHAnsi" w:hAnsiTheme="majorHAnsi" w:cstheme="majorHAnsi"/>
          <w:color w:val="FF0000"/>
          <w:lang w:val="es-PR"/>
        </w:rPr>
      </w:pPr>
    </w:p>
    <w:p w14:paraId="62010FED" w14:textId="77777777" w:rsidR="002A257D" w:rsidRPr="00BB36A5" w:rsidRDefault="002A257D" w:rsidP="00C539FD">
      <w:pPr>
        <w:pStyle w:val="Heading3"/>
        <w:rPr>
          <w:rFonts w:cstheme="majorHAnsi"/>
          <w:lang w:val="es-PR"/>
        </w:rPr>
      </w:pPr>
    </w:p>
    <w:p w14:paraId="19AB687E" w14:textId="77777777" w:rsidR="002A257D" w:rsidRPr="00BB36A5" w:rsidRDefault="002A257D" w:rsidP="00C539FD">
      <w:pPr>
        <w:pStyle w:val="Heading3"/>
        <w:rPr>
          <w:rFonts w:cstheme="majorHAnsi"/>
          <w:lang w:val="es-PR"/>
        </w:rPr>
      </w:pPr>
    </w:p>
    <w:p w14:paraId="3CEC3065" w14:textId="5DCCECF5" w:rsidR="00F54322" w:rsidRPr="00BB36A5" w:rsidRDefault="00A90CD8" w:rsidP="00C539FD">
      <w:pPr>
        <w:pStyle w:val="Heading3"/>
        <w:rPr>
          <w:rFonts w:cstheme="majorHAnsi"/>
          <w:lang w:val="es-PR"/>
        </w:rPr>
      </w:pPr>
      <w:r w:rsidRPr="00BB36A5">
        <w:rPr>
          <w:rFonts w:cstheme="majorHAnsi"/>
          <w:lang w:val="es-PR"/>
        </w:rPr>
        <w:t xml:space="preserve">ACTIVIDADES DE </w:t>
      </w:r>
      <w:r w:rsidR="00F54322" w:rsidRPr="00BB36A5">
        <w:rPr>
          <w:rFonts w:cstheme="majorHAnsi"/>
          <w:lang w:val="es-PR"/>
        </w:rPr>
        <w:t>CONTROL</w:t>
      </w:r>
    </w:p>
    <w:p w14:paraId="683A71E3" w14:textId="1D1AA16A" w:rsidR="000447A5" w:rsidRPr="00BB36A5" w:rsidRDefault="000447A5" w:rsidP="005E580E">
      <w:pPr>
        <w:jc w:val="both"/>
        <w:rPr>
          <w:rFonts w:asciiTheme="majorHAnsi" w:hAnsiTheme="majorHAnsi" w:cstheme="majorHAnsi"/>
          <w:lang w:val="es-PR"/>
        </w:rPr>
      </w:pPr>
      <w:r w:rsidRPr="00BB36A5">
        <w:rPr>
          <w:rFonts w:asciiTheme="majorHAnsi" w:hAnsiTheme="majorHAnsi" w:cstheme="majorHAnsi"/>
          <w:lang w:val="es-PR"/>
        </w:rPr>
        <w:t xml:space="preserve">Las Actividades de Control constituyen el tercer componente de control interno. Las Actividades de Control son las acciones que una organización toma para mitigar los riesgos que se han identificado </w:t>
      </w:r>
      <w:r w:rsidR="00532B16" w:rsidRPr="00BB36A5">
        <w:rPr>
          <w:rFonts w:asciiTheme="majorHAnsi" w:hAnsiTheme="majorHAnsi" w:cstheme="majorHAnsi"/>
          <w:lang w:val="es-PR"/>
        </w:rPr>
        <w:t>(COSO, 2014</w:t>
      </w:r>
      <w:r w:rsidR="00532B16" w:rsidRPr="00BB36A5">
        <w:rPr>
          <w:rFonts w:asciiTheme="majorHAnsi" w:hAnsiTheme="majorHAnsi" w:cstheme="majorHAnsi"/>
          <w:vertAlign w:val="superscript"/>
        </w:rPr>
        <w:footnoteReference w:id="8"/>
      </w:r>
      <w:r w:rsidR="00532B16" w:rsidRPr="00BB36A5">
        <w:rPr>
          <w:rFonts w:asciiTheme="majorHAnsi" w:hAnsiTheme="majorHAnsi" w:cstheme="majorHAnsi"/>
          <w:lang w:val="es-PR"/>
        </w:rPr>
        <w:t>, GAO 2002</w:t>
      </w:r>
      <w:r w:rsidR="00532B16" w:rsidRPr="00BB36A5">
        <w:rPr>
          <w:rFonts w:asciiTheme="majorHAnsi" w:hAnsiTheme="majorHAnsi" w:cstheme="majorHAnsi"/>
          <w:vertAlign w:val="superscript"/>
        </w:rPr>
        <w:footnoteReference w:id="9"/>
      </w:r>
      <w:r w:rsidR="00532B16" w:rsidRPr="00BB36A5">
        <w:rPr>
          <w:rFonts w:asciiTheme="majorHAnsi" w:hAnsiTheme="majorHAnsi" w:cstheme="majorHAnsi"/>
          <w:lang w:val="es-PR"/>
        </w:rPr>
        <w:t xml:space="preserve">). </w:t>
      </w:r>
      <w:r w:rsidRPr="00BB36A5">
        <w:rPr>
          <w:rFonts w:asciiTheme="majorHAnsi" w:hAnsiTheme="majorHAnsi" w:cstheme="majorHAnsi"/>
          <w:lang w:val="es-PR"/>
        </w:rPr>
        <w:t xml:space="preserve">Las Actividades de Control son acciones </w:t>
      </w:r>
      <w:r w:rsidR="00AA48B4" w:rsidRPr="00BB36A5">
        <w:rPr>
          <w:rFonts w:asciiTheme="majorHAnsi" w:hAnsiTheme="majorHAnsi" w:cstheme="majorHAnsi"/>
          <w:lang w:val="es-PR"/>
        </w:rPr>
        <w:t xml:space="preserve">documentadas que han sido </w:t>
      </w:r>
      <w:r w:rsidRPr="00BB36A5">
        <w:rPr>
          <w:rFonts w:asciiTheme="majorHAnsi" w:hAnsiTheme="majorHAnsi" w:cstheme="majorHAnsi"/>
          <w:lang w:val="es-PR"/>
        </w:rPr>
        <w:t xml:space="preserve">establecidas por el DEPR para servir como </w:t>
      </w:r>
      <w:r w:rsidR="00AA48B4" w:rsidRPr="00BB36A5">
        <w:rPr>
          <w:rFonts w:asciiTheme="majorHAnsi" w:hAnsiTheme="majorHAnsi" w:cstheme="majorHAnsi"/>
          <w:lang w:val="es-PR"/>
        </w:rPr>
        <w:t>guardianes (</w:t>
      </w:r>
      <w:r w:rsidR="00AA48B4" w:rsidRPr="00BB36A5">
        <w:rPr>
          <w:rFonts w:asciiTheme="majorHAnsi" w:hAnsiTheme="majorHAnsi" w:cstheme="majorHAnsi"/>
          <w:i/>
          <w:iCs/>
          <w:lang w:val="es-PR"/>
        </w:rPr>
        <w:t>gatekeepers</w:t>
      </w:r>
      <w:r w:rsidR="00AA48B4" w:rsidRPr="00BB36A5">
        <w:rPr>
          <w:rFonts w:asciiTheme="majorHAnsi" w:hAnsiTheme="majorHAnsi" w:cstheme="majorHAnsi"/>
          <w:lang w:val="es-PR"/>
        </w:rPr>
        <w:t>)</w:t>
      </w:r>
      <w:r w:rsidRPr="00BB36A5">
        <w:rPr>
          <w:rFonts w:asciiTheme="majorHAnsi" w:hAnsiTheme="majorHAnsi" w:cstheme="majorHAnsi"/>
          <w:lang w:val="es-PR"/>
        </w:rPr>
        <w:t xml:space="preserve"> para asegurar que se alcancen los objetivos.  Las </w:t>
      </w:r>
      <w:r w:rsidR="00AA48B4" w:rsidRPr="00BB36A5">
        <w:rPr>
          <w:rFonts w:asciiTheme="majorHAnsi" w:hAnsiTheme="majorHAnsi" w:cstheme="majorHAnsi"/>
          <w:lang w:val="es-PR"/>
        </w:rPr>
        <w:t>A</w:t>
      </w:r>
      <w:r w:rsidRPr="00BB36A5">
        <w:rPr>
          <w:rFonts w:asciiTheme="majorHAnsi" w:hAnsiTheme="majorHAnsi" w:cstheme="majorHAnsi"/>
          <w:lang w:val="es-PR"/>
        </w:rPr>
        <w:t xml:space="preserve">ctividades de </w:t>
      </w:r>
      <w:r w:rsidR="00AA48B4" w:rsidRPr="00BB36A5">
        <w:rPr>
          <w:rFonts w:asciiTheme="majorHAnsi" w:hAnsiTheme="majorHAnsi" w:cstheme="majorHAnsi"/>
          <w:lang w:val="es-PR"/>
        </w:rPr>
        <w:t>C</w:t>
      </w:r>
      <w:r w:rsidRPr="00BB36A5">
        <w:rPr>
          <w:rFonts w:asciiTheme="majorHAnsi" w:hAnsiTheme="majorHAnsi" w:cstheme="majorHAnsi"/>
          <w:lang w:val="es-PR"/>
        </w:rPr>
        <w:t>ontrol se realizan en todos los niveles y funciones.  Incluyen una amplia gama de</w:t>
      </w:r>
      <w:r w:rsidR="00AA48B4" w:rsidRPr="00BB36A5">
        <w:rPr>
          <w:rFonts w:asciiTheme="majorHAnsi" w:hAnsiTheme="majorHAnsi" w:cstheme="majorHAnsi"/>
          <w:lang w:val="es-PR"/>
        </w:rPr>
        <w:t xml:space="preserve"> diversas</w:t>
      </w:r>
      <w:r w:rsidRPr="00BB36A5">
        <w:rPr>
          <w:rFonts w:asciiTheme="majorHAnsi" w:hAnsiTheme="majorHAnsi" w:cstheme="majorHAnsi"/>
          <w:lang w:val="es-PR"/>
        </w:rPr>
        <w:t xml:space="preserve"> actividade</w:t>
      </w:r>
      <w:r w:rsidR="00AA48B4" w:rsidRPr="00BB36A5">
        <w:rPr>
          <w:rFonts w:asciiTheme="majorHAnsi" w:hAnsiTheme="majorHAnsi" w:cstheme="majorHAnsi"/>
          <w:lang w:val="es-PR"/>
        </w:rPr>
        <w:t>s</w:t>
      </w:r>
      <w:r w:rsidRPr="00BB36A5">
        <w:rPr>
          <w:rFonts w:asciiTheme="majorHAnsi" w:hAnsiTheme="majorHAnsi" w:cstheme="majorHAnsi"/>
          <w:lang w:val="es-PR"/>
        </w:rPr>
        <w:t xml:space="preserve"> tales como</w:t>
      </w:r>
      <w:r w:rsidR="00AA48B4" w:rsidRPr="00BB36A5">
        <w:rPr>
          <w:rFonts w:asciiTheme="majorHAnsi" w:hAnsiTheme="majorHAnsi" w:cstheme="majorHAnsi"/>
          <w:lang w:val="es-PR"/>
        </w:rPr>
        <w:t>:</w:t>
      </w:r>
      <w:r w:rsidRPr="00BB36A5">
        <w:rPr>
          <w:rFonts w:asciiTheme="majorHAnsi" w:hAnsiTheme="majorHAnsi" w:cstheme="majorHAnsi"/>
          <w:lang w:val="es-PR"/>
        </w:rPr>
        <w:t xml:space="preserve"> </w:t>
      </w:r>
      <w:r w:rsidR="00AA48B4" w:rsidRPr="00BB36A5">
        <w:rPr>
          <w:rFonts w:asciiTheme="majorHAnsi" w:hAnsiTheme="majorHAnsi" w:cstheme="majorHAnsi"/>
          <w:lang w:val="es-PR"/>
        </w:rPr>
        <w:t xml:space="preserve">adiestramientos, </w:t>
      </w:r>
      <w:r w:rsidRPr="00BB36A5">
        <w:rPr>
          <w:rFonts w:asciiTheme="majorHAnsi" w:hAnsiTheme="majorHAnsi" w:cstheme="majorHAnsi"/>
          <w:lang w:val="es-PR"/>
        </w:rPr>
        <w:t>capacitación, aprobaciones, autorizaciones, v</w:t>
      </w:r>
      <w:r w:rsidR="00AA48B4" w:rsidRPr="00BB36A5">
        <w:rPr>
          <w:rFonts w:asciiTheme="majorHAnsi" w:hAnsiTheme="majorHAnsi" w:cstheme="majorHAnsi"/>
          <w:lang w:val="es-PR"/>
        </w:rPr>
        <w:t>alidaciones</w:t>
      </w:r>
      <w:r w:rsidRPr="00BB36A5">
        <w:rPr>
          <w:rFonts w:asciiTheme="majorHAnsi" w:hAnsiTheme="majorHAnsi" w:cstheme="majorHAnsi"/>
          <w:lang w:val="es-PR"/>
        </w:rPr>
        <w:t xml:space="preserve">, </w:t>
      </w:r>
      <w:r w:rsidR="00AA48B4" w:rsidRPr="00BB36A5">
        <w:rPr>
          <w:rFonts w:asciiTheme="majorHAnsi" w:hAnsiTheme="majorHAnsi" w:cstheme="majorHAnsi"/>
          <w:lang w:val="es-PR"/>
        </w:rPr>
        <w:t>re</w:t>
      </w:r>
      <w:r w:rsidRPr="00BB36A5">
        <w:rPr>
          <w:rFonts w:asciiTheme="majorHAnsi" w:hAnsiTheme="majorHAnsi" w:cstheme="majorHAnsi"/>
          <w:lang w:val="es-PR"/>
        </w:rPr>
        <w:t xml:space="preserve">conciliaciones, </w:t>
      </w:r>
      <w:r w:rsidR="00AA48B4" w:rsidRPr="00BB36A5">
        <w:rPr>
          <w:rFonts w:asciiTheme="majorHAnsi" w:hAnsiTheme="majorHAnsi" w:cstheme="majorHAnsi"/>
          <w:lang w:val="es-PR"/>
        </w:rPr>
        <w:t>evaluaciones de rendimiento</w:t>
      </w:r>
      <w:r w:rsidRPr="00BB36A5">
        <w:rPr>
          <w:rFonts w:asciiTheme="majorHAnsi" w:hAnsiTheme="majorHAnsi" w:cstheme="majorHAnsi"/>
          <w:lang w:val="es-PR"/>
        </w:rPr>
        <w:t xml:space="preserve">, tareas segregadas, medidas de seguridad y la creación y mantenimiento de </w:t>
      </w:r>
      <w:r w:rsidR="00AA48B4" w:rsidRPr="00BB36A5">
        <w:rPr>
          <w:rFonts w:asciiTheme="majorHAnsi" w:hAnsiTheme="majorHAnsi" w:cstheme="majorHAnsi"/>
          <w:lang w:val="es-PR"/>
        </w:rPr>
        <w:t xml:space="preserve">la </w:t>
      </w:r>
      <w:r w:rsidRPr="00BB36A5">
        <w:rPr>
          <w:rFonts w:asciiTheme="majorHAnsi" w:hAnsiTheme="majorHAnsi" w:cstheme="majorHAnsi"/>
          <w:lang w:val="es-PR"/>
        </w:rPr>
        <w:t xml:space="preserve">documentación. Estas actividades incluyen la implementación de políticas, procedimientos y mecanismos para mitigar los riesgos que amenazan el éxito de una organización. </w:t>
      </w:r>
    </w:p>
    <w:p w14:paraId="3ECF6E0E" w14:textId="77777777" w:rsidR="000447A5" w:rsidRPr="00BB36A5" w:rsidRDefault="000447A5" w:rsidP="005E580E">
      <w:pPr>
        <w:jc w:val="both"/>
        <w:rPr>
          <w:rFonts w:asciiTheme="majorHAnsi" w:hAnsiTheme="majorHAnsi" w:cstheme="majorHAnsi"/>
          <w:lang w:val="es-PR"/>
        </w:rPr>
      </w:pPr>
    </w:p>
    <w:p w14:paraId="4DACED90" w14:textId="77777777" w:rsidR="005E580E" w:rsidRPr="00BB36A5" w:rsidRDefault="005E580E" w:rsidP="005E580E">
      <w:pPr>
        <w:jc w:val="both"/>
        <w:rPr>
          <w:rFonts w:asciiTheme="majorHAnsi" w:hAnsiTheme="majorHAnsi" w:cstheme="majorHAnsi"/>
          <w:lang w:val="es-PR"/>
        </w:rPr>
      </w:pPr>
    </w:p>
    <w:p w14:paraId="224D3B4B" w14:textId="4CA83739" w:rsidR="00F54322" w:rsidRPr="00BB36A5" w:rsidRDefault="00D526A7" w:rsidP="005E580E">
      <w:pPr>
        <w:jc w:val="both"/>
        <w:rPr>
          <w:rFonts w:asciiTheme="majorHAnsi" w:hAnsiTheme="majorHAnsi" w:cstheme="majorHAnsi"/>
          <w:lang w:val="es-PR"/>
        </w:rPr>
      </w:pPr>
      <w:r w:rsidRPr="00BB36A5">
        <w:rPr>
          <w:rFonts w:asciiTheme="majorHAnsi" w:hAnsiTheme="majorHAnsi" w:cstheme="majorHAnsi"/>
          <w:lang w:val="es-PR"/>
        </w:rPr>
        <w:t>L</w:t>
      </w:r>
      <w:r w:rsidR="00030BB0" w:rsidRPr="00BB36A5">
        <w:rPr>
          <w:rFonts w:asciiTheme="majorHAnsi" w:hAnsiTheme="majorHAnsi" w:cstheme="majorHAnsi"/>
          <w:lang w:val="es-PR"/>
        </w:rPr>
        <w:t>o</w:t>
      </w:r>
      <w:r w:rsidRPr="00BB36A5">
        <w:rPr>
          <w:rFonts w:asciiTheme="majorHAnsi" w:hAnsiTheme="majorHAnsi" w:cstheme="majorHAnsi"/>
          <w:lang w:val="es-PR"/>
        </w:rPr>
        <w:t>s siguientes son algu</w:t>
      </w:r>
      <w:r w:rsidR="00030BB0" w:rsidRPr="00BB36A5">
        <w:rPr>
          <w:rFonts w:asciiTheme="majorHAnsi" w:hAnsiTheme="majorHAnsi" w:cstheme="majorHAnsi"/>
          <w:lang w:val="es-PR"/>
        </w:rPr>
        <w:t>no</w:t>
      </w:r>
      <w:r w:rsidRPr="00BB36A5">
        <w:rPr>
          <w:rFonts w:asciiTheme="majorHAnsi" w:hAnsiTheme="majorHAnsi" w:cstheme="majorHAnsi"/>
          <w:lang w:val="es-PR"/>
        </w:rPr>
        <w:t>s de l</w:t>
      </w:r>
      <w:r w:rsidR="00030BB0" w:rsidRPr="00BB36A5">
        <w:rPr>
          <w:rFonts w:asciiTheme="majorHAnsi" w:hAnsiTheme="majorHAnsi" w:cstheme="majorHAnsi"/>
          <w:lang w:val="es-PR"/>
        </w:rPr>
        <w:t>os puntos por los cuales</w:t>
      </w:r>
      <w:r w:rsidRPr="00BB36A5">
        <w:rPr>
          <w:rFonts w:asciiTheme="majorHAnsi" w:hAnsiTheme="majorHAnsi" w:cstheme="majorHAnsi"/>
          <w:lang w:val="es-PR"/>
        </w:rPr>
        <w:t xml:space="preserve"> se establecieron los controles del DEPR:</w:t>
      </w:r>
    </w:p>
    <w:p w14:paraId="7BDA8947" w14:textId="547032C6" w:rsidR="00F54322" w:rsidRPr="00BB36A5" w:rsidRDefault="00030BB0" w:rsidP="00342E9E">
      <w:pPr>
        <w:pStyle w:val="ListParagraph"/>
        <w:numPr>
          <w:ilvl w:val="0"/>
          <w:numId w:val="22"/>
        </w:numPr>
        <w:jc w:val="both"/>
        <w:rPr>
          <w:rFonts w:asciiTheme="majorHAnsi" w:hAnsiTheme="majorHAnsi" w:cstheme="majorHAnsi"/>
          <w:lang w:val="es-PR"/>
        </w:rPr>
      </w:pPr>
      <w:r w:rsidRPr="00BB36A5">
        <w:rPr>
          <w:rFonts w:asciiTheme="majorHAnsi" w:hAnsiTheme="majorHAnsi" w:cstheme="majorHAnsi"/>
          <w:lang w:val="es-PR"/>
        </w:rPr>
        <w:t>Segregación de responsabilidades para que un empleado no tenga control total ni lleve a cabo todas las tareas fiscales (Flujograma de la organización.  Guía de Procedimientos Fiscales).</w:t>
      </w:r>
    </w:p>
    <w:p w14:paraId="09D15930" w14:textId="568C1A06" w:rsidR="00F54322" w:rsidRPr="00BB36A5" w:rsidRDefault="00030BB0" w:rsidP="00342E9E">
      <w:pPr>
        <w:pStyle w:val="ListParagraph"/>
        <w:numPr>
          <w:ilvl w:val="0"/>
          <w:numId w:val="22"/>
        </w:numPr>
        <w:jc w:val="both"/>
        <w:rPr>
          <w:rFonts w:asciiTheme="majorHAnsi" w:hAnsiTheme="majorHAnsi" w:cstheme="majorHAnsi"/>
        </w:rPr>
      </w:pPr>
      <w:r w:rsidRPr="00BB36A5">
        <w:rPr>
          <w:rFonts w:asciiTheme="majorHAnsi" w:hAnsiTheme="majorHAnsi" w:cstheme="majorHAnsi"/>
          <w:lang w:val="es-PR"/>
        </w:rPr>
        <w:t>Evaluaciones</w:t>
      </w:r>
      <w:r w:rsidRPr="00BB36A5">
        <w:rPr>
          <w:rFonts w:asciiTheme="majorHAnsi" w:hAnsiTheme="majorHAnsi" w:cstheme="majorHAnsi"/>
        </w:rPr>
        <w:t xml:space="preserve"> de</w:t>
      </w:r>
      <w:r w:rsidRPr="00BB36A5">
        <w:rPr>
          <w:rFonts w:asciiTheme="majorHAnsi" w:hAnsiTheme="majorHAnsi" w:cstheme="majorHAnsi"/>
          <w:lang w:val="es-PR"/>
        </w:rPr>
        <w:t xml:space="preserve"> desempeño</w:t>
      </w:r>
    </w:p>
    <w:p w14:paraId="3F574B99" w14:textId="46C692C0" w:rsidR="00F54322" w:rsidRPr="00BB36A5" w:rsidRDefault="00030BB0" w:rsidP="00342E9E">
      <w:pPr>
        <w:pStyle w:val="ListParagraph"/>
        <w:numPr>
          <w:ilvl w:val="0"/>
          <w:numId w:val="22"/>
        </w:numPr>
        <w:jc w:val="both"/>
        <w:rPr>
          <w:rFonts w:asciiTheme="majorHAnsi" w:hAnsiTheme="majorHAnsi" w:cstheme="majorHAnsi"/>
          <w:lang w:val="es-PR"/>
        </w:rPr>
      </w:pPr>
      <w:r w:rsidRPr="00BB36A5">
        <w:rPr>
          <w:rFonts w:asciiTheme="majorHAnsi" w:hAnsiTheme="majorHAnsi" w:cstheme="majorHAnsi"/>
          <w:lang w:val="es-PR"/>
        </w:rPr>
        <w:t>Documentación de las transacciones (Documentación en SIFDE, registros físicos, Documentos en la nube)</w:t>
      </w:r>
    </w:p>
    <w:p w14:paraId="12FBF929" w14:textId="1F9D8E3D" w:rsidR="00F54322" w:rsidRPr="00BB36A5" w:rsidRDefault="00030BB0" w:rsidP="00342E9E">
      <w:pPr>
        <w:pStyle w:val="ListParagraph"/>
        <w:numPr>
          <w:ilvl w:val="0"/>
          <w:numId w:val="22"/>
        </w:numPr>
        <w:jc w:val="both"/>
        <w:rPr>
          <w:rFonts w:asciiTheme="majorHAnsi" w:hAnsiTheme="majorHAnsi" w:cstheme="majorHAnsi"/>
          <w:lang w:val="es-PR"/>
        </w:rPr>
      </w:pPr>
      <w:r w:rsidRPr="00BB36A5">
        <w:rPr>
          <w:rFonts w:asciiTheme="majorHAnsi" w:hAnsiTheme="majorHAnsi" w:cstheme="majorHAnsi"/>
          <w:lang w:val="es-PR"/>
        </w:rPr>
        <w:t xml:space="preserve">Asegurarse que exista una seguridad adecuada para los sistemas de </w:t>
      </w:r>
      <w:r w:rsidR="00806701" w:rsidRPr="00BB36A5">
        <w:rPr>
          <w:rFonts w:asciiTheme="majorHAnsi" w:hAnsiTheme="majorHAnsi" w:cstheme="majorHAnsi"/>
          <w:lang w:val="es-PR"/>
        </w:rPr>
        <w:t>información</w:t>
      </w:r>
      <w:r w:rsidRPr="00BB36A5">
        <w:rPr>
          <w:rFonts w:asciiTheme="majorHAnsi" w:hAnsiTheme="majorHAnsi" w:cstheme="majorHAnsi"/>
          <w:lang w:val="es-PR"/>
        </w:rPr>
        <w:t xml:space="preserve"> y registros, como la utilización de contraseñas y autorizaciones restringidas (contraseñas, protocolos de seguridad para sistemas de información, registros físicos en un área segura)</w:t>
      </w:r>
    </w:p>
    <w:p w14:paraId="679265CB" w14:textId="64740248" w:rsidR="00F54322" w:rsidRPr="00BB36A5" w:rsidRDefault="00030BB0" w:rsidP="00342E9E">
      <w:pPr>
        <w:pStyle w:val="ListParagraph"/>
        <w:numPr>
          <w:ilvl w:val="0"/>
          <w:numId w:val="22"/>
        </w:numPr>
        <w:jc w:val="both"/>
        <w:rPr>
          <w:rFonts w:asciiTheme="majorHAnsi" w:hAnsiTheme="majorHAnsi" w:cstheme="majorHAnsi"/>
          <w:lang w:val="es-PR"/>
        </w:rPr>
      </w:pPr>
      <w:r w:rsidRPr="00BB36A5">
        <w:rPr>
          <w:rFonts w:asciiTheme="majorHAnsi" w:hAnsiTheme="majorHAnsi" w:cstheme="majorHAnsi"/>
          <w:lang w:val="es-PR"/>
        </w:rPr>
        <w:t>Mantener el equipo y otros activos asegurados (área asegurada)</w:t>
      </w:r>
    </w:p>
    <w:p w14:paraId="76581D05" w14:textId="09254E57" w:rsidR="00F54322" w:rsidRPr="00BB36A5" w:rsidRDefault="0075035D" w:rsidP="00342E9E">
      <w:pPr>
        <w:pStyle w:val="ListParagraph"/>
        <w:numPr>
          <w:ilvl w:val="0"/>
          <w:numId w:val="22"/>
        </w:numPr>
        <w:jc w:val="both"/>
        <w:rPr>
          <w:rFonts w:asciiTheme="majorHAnsi" w:hAnsiTheme="majorHAnsi" w:cstheme="majorHAnsi"/>
          <w:lang w:val="es-PR"/>
        </w:rPr>
      </w:pPr>
      <w:bookmarkStart w:id="0" w:name="_Hlk32311930"/>
      <w:r w:rsidRPr="00BB36A5">
        <w:rPr>
          <w:rFonts w:asciiTheme="majorHAnsi" w:hAnsiTheme="majorHAnsi" w:cstheme="majorHAnsi"/>
          <w:lang w:val="es-PR"/>
        </w:rPr>
        <w:t>Mantener documentación clara de todos los procedimientos, incluyendo aprobaciones y la retención de registros (registros de la</w:t>
      </w:r>
      <w:r w:rsidR="005E011C" w:rsidRPr="00BB36A5">
        <w:rPr>
          <w:rFonts w:asciiTheme="majorHAnsi" w:hAnsiTheme="majorHAnsi" w:cstheme="majorHAnsi"/>
          <w:lang w:val="es-PR"/>
        </w:rPr>
        <w:t>s</w:t>
      </w:r>
      <w:r w:rsidRPr="00BB36A5">
        <w:rPr>
          <w:rFonts w:asciiTheme="majorHAnsi" w:hAnsiTheme="majorHAnsi" w:cstheme="majorHAnsi"/>
          <w:lang w:val="es-PR"/>
        </w:rPr>
        <w:t xml:space="preserve"> iniciativa</w:t>
      </w:r>
      <w:r w:rsidR="005E011C" w:rsidRPr="00BB36A5">
        <w:rPr>
          <w:rFonts w:asciiTheme="majorHAnsi" w:hAnsiTheme="majorHAnsi" w:cstheme="majorHAnsi"/>
          <w:lang w:val="es-PR"/>
        </w:rPr>
        <w:t>s</w:t>
      </w:r>
      <w:r w:rsidRPr="00BB36A5">
        <w:rPr>
          <w:rFonts w:asciiTheme="majorHAnsi" w:hAnsiTheme="majorHAnsi" w:cstheme="majorHAnsi"/>
          <w:lang w:val="es-PR"/>
        </w:rPr>
        <w:t>)</w:t>
      </w:r>
    </w:p>
    <w:bookmarkEnd w:id="0"/>
    <w:p w14:paraId="59782091" w14:textId="03DA4CE1" w:rsidR="00342E9E" w:rsidRPr="00BB36A5" w:rsidRDefault="0010623A" w:rsidP="00342E9E">
      <w:pPr>
        <w:pStyle w:val="ListParagraph"/>
        <w:numPr>
          <w:ilvl w:val="0"/>
          <w:numId w:val="22"/>
        </w:numPr>
        <w:jc w:val="both"/>
        <w:rPr>
          <w:rFonts w:asciiTheme="majorHAnsi" w:hAnsiTheme="majorHAnsi" w:cstheme="majorHAnsi"/>
          <w:lang w:val="es-PR"/>
        </w:rPr>
      </w:pPr>
      <w:r w:rsidRPr="00BB36A5">
        <w:rPr>
          <w:rFonts w:asciiTheme="majorHAnsi" w:hAnsiTheme="majorHAnsi" w:cstheme="majorHAnsi"/>
          <w:lang w:val="es-PR"/>
        </w:rPr>
        <w:t xml:space="preserve">Debido a los continuos cambios en la tecnología de información, el manejo y </w:t>
      </w:r>
      <w:r w:rsidR="00590297" w:rsidRPr="00BB36A5">
        <w:rPr>
          <w:rFonts w:asciiTheme="majorHAnsi" w:hAnsiTheme="majorHAnsi" w:cstheme="majorHAnsi"/>
          <w:lang w:val="es-PR"/>
        </w:rPr>
        <w:t>actualización</w:t>
      </w:r>
      <w:r w:rsidRPr="00BB36A5">
        <w:rPr>
          <w:rFonts w:asciiTheme="majorHAnsi" w:hAnsiTheme="majorHAnsi" w:cstheme="majorHAnsi"/>
          <w:lang w:val="es-PR"/>
        </w:rPr>
        <w:t xml:space="preserve"> de los sistemas de información de una organización debe mantenerse al ritmo adecuado para poder seguir siendo eficaz (Contraseñas, Protocolos de Seguridad para Sistemas de Información)</w:t>
      </w:r>
    </w:p>
    <w:p w14:paraId="69E1035F" w14:textId="784B3464" w:rsidR="00342E9E" w:rsidRPr="00BB36A5" w:rsidRDefault="00342E9E" w:rsidP="00342E9E">
      <w:pPr>
        <w:rPr>
          <w:rFonts w:asciiTheme="majorHAnsi" w:hAnsiTheme="majorHAnsi" w:cstheme="majorHAnsi"/>
          <w:lang w:val="es-PR"/>
        </w:rPr>
      </w:pPr>
    </w:p>
    <w:p w14:paraId="7825DB35" w14:textId="77777777" w:rsidR="00342E9E" w:rsidRPr="00BB36A5" w:rsidRDefault="00342E9E" w:rsidP="00342E9E">
      <w:pPr>
        <w:rPr>
          <w:rFonts w:asciiTheme="majorHAnsi" w:hAnsiTheme="majorHAnsi" w:cstheme="majorHAnsi"/>
          <w:lang w:val="es-PR"/>
        </w:rPr>
      </w:pPr>
    </w:p>
    <w:p w14:paraId="4E0DC914" w14:textId="174670CF" w:rsidR="00F54322" w:rsidRPr="00BB36A5" w:rsidRDefault="00F54322" w:rsidP="00034F0A">
      <w:pPr>
        <w:pStyle w:val="Heading4"/>
        <w:rPr>
          <w:rFonts w:cstheme="majorHAnsi"/>
          <w:i w:val="0"/>
          <w:iCs w:val="0"/>
          <w:lang w:val="es-PR"/>
        </w:rPr>
      </w:pPr>
      <w:r w:rsidRPr="00BB36A5">
        <w:rPr>
          <w:rFonts w:cstheme="majorHAnsi"/>
          <w:i w:val="0"/>
          <w:iCs w:val="0"/>
          <w:lang w:val="es-PR"/>
        </w:rPr>
        <w:t>T</w:t>
      </w:r>
      <w:r w:rsidR="00A90CD8" w:rsidRPr="00BB36A5">
        <w:rPr>
          <w:rFonts w:cstheme="majorHAnsi"/>
          <w:i w:val="0"/>
          <w:iCs w:val="0"/>
          <w:lang w:val="es-PR"/>
        </w:rPr>
        <w:t>ipos de</w:t>
      </w:r>
      <w:r w:rsidRPr="00BB36A5">
        <w:rPr>
          <w:rFonts w:cstheme="majorHAnsi"/>
          <w:i w:val="0"/>
          <w:iCs w:val="0"/>
          <w:lang w:val="es-PR"/>
        </w:rPr>
        <w:t xml:space="preserve"> Control</w:t>
      </w:r>
      <w:r w:rsidR="00806701" w:rsidRPr="00BB36A5">
        <w:rPr>
          <w:rFonts w:cstheme="majorHAnsi"/>
          <w:i w:val="0"/>
          <w:iCs w:val="0"/>
          <w:lang w:val="es-PR"/>
        </w:rPr>
        <w:t>es</w:t>
      </w:r>
      <w:r w:rsidR="00A90CD8" w:rsidRPr="00BB36A5">
        <w:rPr>
          <w:rFonts w:cstheme="majorHAnsi"/>
          <w:i w:val="0"/>
          <w:iCs w:val="0"/>
          <w:lang w:val="es-PR"/>
        </w:rPr>
        <w:t xml:space="preserve"> de</w:t>
      </w:r>
      <w:r w:rsidRPr="00BB36A5">
        <w:rPr>
          <w:rFonts w:cstheme="majorHAnsi"/>
          <w:i w:val="0"/>
          <w:iCs w:val="0"/>
          <w:lang w:val="es-PR"/>
        </w:rPr>
        <w:t xml:space="preserve"> Activi</w:t>
      </w:r>
      <w:r w:rsidR="00A90CD8" w:rsidRPr="00BB36A5">
        <w:rPr>
          <w:rFonts w:cstheme="majorHAnsi"/>
          <w:i w:val="0"/>
          <w:iCs w:val="0"/>
          <w:lang w:val="es-PR"/>
        </w:rPr>
        <w:t>dades</w:t>
      </w:r>
    </w:p>
    <w:p w14:paraId="1A00CD5C" w14:textId="5A8ACB16" w:rsidR="00806701" w:rsidRPr="00BB36A5" w:rsidRDefault="00806701" w:rsidP="00F54322">
      <w:pPr>
        <w:jc w:val="both"/>
        <w:rPr>
          <w:rFonts w:asciiTheme="majorHAnsi" w:hAnsiTheme="majorHAnsi" w:cstheme="majorHAnsi"/>
          <w:lang w:val="es-PR"/>
        </w:rPr>
      </w:pPr>
      <w:r w:rsidRPr="00BB36A5">
        <w:rPr>
          <w:rFonts w:asciiTheme="majorHAnsi" w:hAnsiTheme="majorHAnsi" w:cstheme="majorHAnsi"/>
          <w:lang w:val="es-PR"/>
        </w:rPr>
        <w:t>El objetivo de cualquier sistema de control interno es reducir el riesgo de fraude, despilfarro o abuso. Para lograr dichos objetivos debe haber diferentes tipos de controles. Tres tipos generales de controles internos son los preventivos, detección y correctivos.</w:t>
      </w:r>
    </w:p>
    <w:p w14:paraId="56F403F2" w14:textId="77777777" w:rsidR="00806701" w:rsidRPr="00BB36A5" w:rsidRDefault="00806701" w:rsidP="00F54322">
      <w:pPr>
        <w:jc w:val="both"/>
        <w:rPr>
          <w:rFonts w:asciiTheme="majorHAnsi" w:hAnsiTheme="majorHAnsi" w:cstheme="majorHAnsi"/>
          <w:lang w:val="es-PR"/>
        </w:rPr>
      </w:pPr>
    </w:p>
    <w:p w14:paraId="44CEA734" w14:textId="77777777" w:rsidR="00F54322" w:rsidRPr="00BB36A5" w:rsidRDefault="00F54322" w:rsidP="00F54322">
      <w:pPr>
        <w:pStyle w:val="Default"/>
        <w:spacing w:after="9"/>
        <w:jc w:val="both"/>
        <w:rPr>
          <w:rFonts w:asciiTheme="majorHAnsi" w:hAnsiTheme="majorHAnsi" w:cstheme="majorHAnsi"/>
          <w:color w:val="auto"/>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2419"/>
        <w:gridCol w:w="5950"/>
      </w:tblGrid>
      <w:tr w:rsidR="00342E9E" w:rsidRPr="00BB36A5" w14:paraId="3A4EE241" w14:textId="77777777" w:rsidTr="00034F0A">
        <w:trPr>
          <w:trHeight w:val="585"/>
          <w:tblHeader/>
        </w:trPr>
        <w:tc>
          <w:tcPr>
            <w:tcW w:w="1631" w:type="dxa"/>
            <w:tcBorders>
              <w:top w:val="single" w:sz="12" w:space="0" w:color="auto"/>
              <w:bottom w:val="single" w:sz="12" w:space="0" w:color="auto"/>
            </w:tcBorders>
            <w:vAlign w:val="center"/>
          </w:tcPr>
          <w:p w14:paraId="46F14FBB" w14:textId="4107507C" w:rsidR="00F54322" w:rsidRPr="00BB36A5" w:rsidRDefault="00F54322" w:rsidP="001B50CE">
            <w:pPr>
              <w:jc w:val="center"/>
              <w:rPr>
                <w:rFonts w:asciiTheme="majorHAnsi" w:hAnsiTheme="majorHAnsi" w:cstheme="majorHAnsi"/>
              </w:rPr>
            </w:pPr>
            <w:r w:rsidRPr="00BB36A5">
              <w:rPr>
                <w:rFonts w:asciiTheme="majorHAnsi" w:hAnsiTheme="majorHAnsi" w:cstheme="majorHAnsi"/>
              </w:rPr>
              <w:lastRenderedPageBreak/>
              <w:t>T</w:t>
            </w:r>
            <w:r w:rsidR="00CE335A" w:rsidRPr="00BB36A5">
              <w:rPr>
                <w:rFonts w:asciiTheme="majorHAnsi" w:hAnsiTheme="majorHAnsi" w:cstheme="majorHAnsi"/>
              </w:rPr>
              <w:t>ipo</w:t>
            </w:r>
            <w:r w:rsidRPr="00BB36A5">
              <w:rPr>
                <w:rFonts w:asciiTheme="majorHAnsi" w:hAnsiTheme="majorHAnsi" w:cstheme="majorHAnsi"/>
              </w:rPr>
              <w:t xml:space="preserve"> </w:t>
            </w:r>
            <w:r w:rsidR="00CE335A" w:rsidRPr="00BB36A5">
              <w:rPr>
                <w:rFonts w:asciiTheme="majorHAnsi" w:hAnsiTheme="majorHAnsi" w:cstheme="majorHAnsi"/>
              </w:rPr>
              <w:t>de</w:t>
            </w:r>
            <w:r w:rsidRPr="00BB36A5">
              <w:rPr>
                <w:rFonts w:asciiTheme="majorHAnsi" w:hAnsiTheme="majorHAnsi" w:cstheme="majorHAnsi"/>
              </w:rPr>
              <w:t xml:space="preserve"> </w:t>
            </w:r>
            <w:proofErr w:type="spellStart"/>
            <w:r w:rsidRPr="00BB36A5">
              <w:rPr>
                <w:rFonts w:asciiTheme="majorHAnsi" w:hAnsiTheme="majorHAnsi" w:cstheme="majorHAnsi"/>
              </w:rPr>
              <w:t>control</w:t>
            </w:r>
            <w:r w:rsidR="00CE335A" w:rsidRPr="00BB36A5">
              <w:rPr>
                <w:rFonts w:asciiTheme="majorHAnsi" w:hAnsiTheme="majorHAnsi" w:cstheme="majorHAnsi"/>
              </w:rPr>
              <w:t>es</w:t>
            </w:r>
            <w:proofErr w:type="spellEnd"/>
          </w:p>
        </w:tc>
        <w:tc>
          <w:tcPr>
            <w:tcW w:w="2419" w:type="dxa"/>
            <w:tcBorders>
              <w:top w:val="single" w:sz="12" w:space="0" w:color="auto"/>
              <w:bottom w:val="single" w:sz="12" w:space="0" w:color="auto"/>
            </w:tcBorders>
            <w:vAlign w:val="center"/>
          </w:tcPr>
          <w:p w14:paraId="328C8A9B" w14:textId="68C3F6F4" w:rsidR="00F54322" w:rsidRPr="00BB36A5" w:rsidRDefault="00590297" w:rsidP="001B50CE">
            <w:pPr>
              <w:jc w:val="center"/>
              <w:rPr>
                <w:rFonts w:asciiTheme="majorHAnsi" w:hAnsiTheme="majorHAnsi" w:cstheme="majorHAnsi"/>
              </w:rPr>
            </w:pPr>
            <w:r w:rsidRPr="00BB36A5">
              <w:rPr>
                <w:rFonts w:asciiTheme="majorHAnsi" w:hAnsiTheme="majorHAnsi" w:cstheme="majorHAnsi"/>
              </w:rPr>
              <w:t>Lo q</w:t>
            </w:r>
            <w:r w:rsidR="00CE335A" w:rsidRPr="00BB36A5">
              <w:rPr>
                <w:rFonts w:asciiTheme="majorHAnsi" w:hAnsiTheme="majorHAnsi" w:cstheme="majorHAnsi"/>
              </w:rPr>
              <w:t xml:space="preserve">ue </w:t>
            </w:r>
            <w:proofErr w:type="spellStart"/>
            <w:r w:rsidR="00CE335A" w:rsidRPr="00BB36A5">
              <w:rPr>
                <w:rFonts w:asciiTheme="majorHAnsi" w:hAnsiTheme="majorHAnsi" w:cstheme="majorHAnsi"/>
              </w:rPr>
              <w:t>hace</w:t>
            </w:r>
            <w:proofErr w:type="spellEnd"/>
          </w:p>
        </w:tc>
        <w:tc>
          <w:tcPr>
            <w:tcW w:w="5950" w:type="dxa"/>
            <w:tcBorders>
              <w:top w:val="single" w:sz="12" w:space="0" w:color="auto"/>
              <w:bottom w:val="single" w:sz="12" w:space="0" w:color="auto"/>
            </w:tcBorders>
            <w:vAlign w:val="center"/>
          </w:tcPr>
          <w:p w14:paraId="54AE35B2" w14:textId="35C7CCE9" w:rsidR="00F54322" w:rsidRPr="00BB36A5" w:rsidRDefault="00F54322" w:rsidP="001B50CE">
            <w:pPr>
              <w:jc w:val="center"/>
              <w:rPr>
                <w:rFonts w:asciiTheme="majorHAnsi" w:hAnsiTheme="majorHAnsi" w:cstheme="majorHAnsi"/>
              </w:rPr>
            </w:pPr>
            <w:proofErr w:type="spellStart"/>
            <w:r w:rsidRPr="00BB36A5">
              <w:rPr>
                <w:rFonts w:asciiTheme="majorHAnsi" w:hAnsiTheme="majorHAnsi" w:cstheme="majorHAnsi"/>
              </w:rPr>
              <w:t>Activi</w:t>
            </w:r>
            <w:r w:rsidR="00CE335A" w:rsidRPr="00BB36A5">
              <w:rPr>
                <w:rFonts w:asciiTheme="majorHAnsi" w:hAnsiTheme="majorHAnsi" w:cstheme="majorHAnsi"/>
              </w:rPr>
              <w:t>dades</w:t>
            </w:r>
            <w:proofErr w:type="spellEnd"/>
          </w:p>
        </w:tc>
      </w:tr>
      <w:tr w:rsidR="00342E9E" w:rsidRPr="00BB36A5" w14:paraId="02FB79AF" w14:textId="77777777" w:rsidTr="005E580E">
        <w:trPr>
          <w:trHeight w:val="1977"/>
        </w:trPr>
        <w:tc>
          <w:tcPr>
            <w:tcW w:w="1631" w:type="dxa"/>
            <w:tcBorders>
              <w:top w:val="single" w:sz="12" w:space="0" w:color="auto"/>
            </w:tcBorders>
          </w:tcPr>
          <w:p w14:paraId="7F4AA35D" w14:textId="1D47CBD1" w:rsidR="00F54322" w:rsidRPr="00BB36A5" w:rsidRDefault="00F54322" w:rsidP="001B50CE">
            <w:pPr>
              <w:jc w:val="center"/>
              <w:rPr>
                <w:rFonts w:asciiTheme="majorHAnsi" w:hAnsiTheme="majorHAnsi" w:cstheme="majorHAnsi"/>
              </w:rPr>
            </w:pPr>
            <w:proofErr w:type="spellStart"/>
            <w:r w:rsidRPr="00BB36A5">
              <w:rPr>
                <w:rFonts w:asciiTheme="majorHAnsi" w:hAnsiTheme="majorHAnsi" w:cstheme="majorHAnsi"/>
              </w:rPr>
              <w:t>Preventi</w:t>
            </w:r>
            <w:r w:rsidR="00CE335A" w:rsidRPr="00BB36A5">
              <w:rPr>
                <w:rFonts w:asciiTheme="majorHAnsi" w:hAnsiTheme="majorHAnsi" w:cstheme="majorHAnsi"/>
              </w:rPr>
              <w:t>vo</w:t>
            </w:r>
            <w:proofErr w:type="spellEnd"/>
          </w:p>
        </w:tc>
        <w:tc>
          <w:tcPr>
            <w:tcW w:w="2419" w:type="dxa"/>
            <w:tcBorders>
              <w:top w:val="single" w:sz="12" w:space="0" w:color="auto"/>
            </w:tcBorders>
          </w:tcPr>
          <w:p w14:paraId="6D6A1920" w14:textId="378203FF" w:rsidR="00F54322" w:rsidRPr="00BB36A5" w:rsidRDefault="00F54322" w:rsidP="001B50CE">
            <w:pPr>
              <w:rPr>
                <w:rFonts w:asciiTheme="majorHAnsi" w:hAnsiTheme="majorHAnsi" w:cstheme="majorHAnsi"/>
              </w:rPr>
            </w:pPr>
            <w:r w:rsidRPr="00BB36A5">
              <w:rPr>
                <w:rFonts w:asciiTheme="majorHAnsi" w:hAnsiTheme="majorHAnsi" w:cstheme="majorHAnsi"/>
              </w:rPr>
              <w:t>Prevents errors or irregularities from occurring</w:t>
            </w:r>
            <w:r w:rsidR="007F0BCB" w:rsidRPr="00BB36A5">
              <w:rPr>
                <w:rFonts w:asciiTheme="majorHAnsi" w:hAnsiTheme="majorHAnsi" w:cstheme="majorHAnsi"/>
              </w:rPr>
              <w:t>.</w:t>
            </w:r>
          </w:p>
        </w:tc>
        <w:tc>
          <w:tcPr>
            <w:tcW w:w="5950" w:type="dxa"/>
            <w:tcBorders>
              <w:top w:val="single" w:sz="12" w:space="0" w:color="auto"/>
            </w:tcBorders>
          </w:tcPr>
          <w:p w14:paraId="1A52C1A9" w14:textId="2ABC9559"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Segregación de tareas</w:t>
            </w:r>
            <w:r w:rsidR="005E580E" w:rsidRPr="00BB36A5">
              <w:rPr>
                <w:rFonts w:asciiTheme="majorHAnsi" w:hAnsiTheme="majorHAnsi" w:cstheme="majorHAnsi"/>
                <w:lang w:val="es-PR"/>
              </w:rPr>
              <w:t xml:space="preserve"> (DE-16, fl</w:t>
            </w:r>
            <w:r w:rsidRPr="00BB36A5">
              <w:rPr>
                <w:rFonts w:asciiTheme="majorHAnsi" w:hAnsiTheme="majorHAnsi" w:cstheme="majorHAnsi"/>
                <w:lang w:val="es-PR"/>
              </w:rPr>
              <w:t>ujograma</w:t>
            </w:r>
            <w:r w:rsidR="005E580E" w:rsidRPr="00BB36A5">
              <w:rPr>
                <w:rFonts w:asciiTheme="majorHAnsi" w:hAnsiTheme="majorHAnsi" w:cstheme="majorHAnsi"/>
                <w:lang w:val="es-PR"/>
              </w:rPr>
              <w:t>)</w:t>
            </w:r>
          </w:p>
          <w:p w14:paraId="73DC2C8F" w14:textId="45F4A2C2"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Autorizaciones adecuadas</w:t>
            </w:r>
            <w:r w:rsidR="005E580E" w:rsidRPr="00BB36A5">
              <w:rPr>
                <w:rFonts w:asciiTheme="majorHAnsi" w:hAnsiTheme="majorHAnsi" w:cstheme="majorHAnsi"/>
                <w:lang w:val="es-PR"/>
              </w:rPr>
              <w:t xml:space="preserve"> (</w:t>
            </w:r>
            <w:r w:rsidRPr="00BB36A5">
              <w:rPr>
                <w:rFonts w:asciiTheme="majorHAnsi" w:hAnsiTheme="majorHAnsi" w:cstheme="majorHAnsi"/>
                <w:lang w:val="es-PR"/>
              </w:rPr>
              <w:t>M</w:t>
            </w:r>
            <w:r w:rsidR="005E580E" w:rsidRPr="00BB36A5">
              <w:rPr>
                <w:rFonts w:asciiTheme="majorHAnsi" w:hAnsiTheme="majorHAnsi" w:cstheme="majorHAnsi"/>
                <w:lang w:val="es-PR"/>
              </w:rPr>
              <w:t>emos</w:t>
            </w:r>
            <w:r w:rsidRPr="00BB36A5">
              <w:rPr>
                <w:rFonts w:asciiTheme="majorHAnsi" w:hAnsiTheme="majorHAnsi" w:cstheme="majorHAnsi"/>
                <w:lang w:val="es-PR"/>
              </w:rPr>
              <w:t xml:space="preserve"> de autorización</w:t>
            </w:r>
            <w:r w:rsidR="005E580E" w:rsidRPr="00BB36A5">
              <w:rPr>
                <w:rFonts w:asciiTheme="majorHAnsi" w:hAnsiTheme="majorHAnsi" w:cstheme="majorHAnsi"/>
                <w:lang w:val="es-PR"/>
              </w:rPr>
              <w:t>)</w:t>
            </w:r>
          </w:p>
          <w:p w14:paraId="60A664AE" w14:textId="7B117367" w:rsidR="00F54322" w:rsidRPr="00BB36A5" w:rsidRDefault="007F0BCB" w:rsidP="00342E9E">
            <w:pPr>
              <w:pStyle w:val="ListParagraph"/>
              <w:numPr>
                <w:ilvl w:val="0"/>
                <w:numId w:val="3"/>
              </w:numPr>
              <w:ind w:left="251" w:hanging="251"/>
              <w:rPr>
                <w:rFonts w:asciiTheme="majorHAnsi" w:hAnsiTheme="majorHAnsi" w:cstheme="majorHAnsi"/>
              </w:rPr>
            </w:pPr>
            <w:r w:rsidRPr="00BB36A5">
              <w:rPr>
                <w:rFonts w:asciiTheme="majorHAnsi" w:hAnsiTheme="majorHAnsi" w:cstheme="majorHAnsi"/>
                <w:lang w:val="es-PR"/>
              </w:rPr>
              <w:t>Documentación</w:t>
            </w:r>
            <w:r w:rsidR="009A5409" w:rsidRPr="00BB36A5">
              <w:rPr>
                <w:rFonts w:asciiTheme="majorHAnsi" w:hAnsiTheme="majorHAnsi" w:cstheme="majorHAnsi"/>
                <w:lang w:val="es-PR"/>
              </w:rPr>
              <w:t xml:space="preserve"> pertinente</w:t>
            </w:r>
            <w:r w:rsidR="005E580E" w:rsidRPr="00BB36A5">
              <w:rPr>
                <w:rFonts w:asciiTheme="majorHAnsi" w:hAnsiTheme="majorHAnsi" w:cstheme="majorHAnsi"/>
              </w:rPr>
              <w:t xml:space="preserve"> </w:t>
            </w:r>
            <w:r w:rsidR="005E580E" w:rsidRPr="00BB36A5">
              <w:rPr>
                <w:rFonts w:asciiTheme="majorHAnsi" w:hAnsiTheme="majorHAnsi" w:cstheme="majorHAnsi"/>
                <w:lang w:val="es-PR"/>
              </w:rPr>
              <w:t>(Re</w:t>
            </w:r>
            <w:r w:rsidR="009A5409" w:rsidRPr="00BB36A5">
              <w:rPr>
                <w:rFonts w:asciiTheme="majorHAnsi" w:hAnsiTheme="majorHAnsi" w:cstheme="majorHAnsi"/>
                <w:lang w:val="es-PR"/>
              </w:rPr>
              <w:t>gistros</w:t>
            </w:r>
            <w:r w:rsidR="005E580E" w:rsidRPr="00BB36A5">
              <w:rPr>
                <w:rFonts w:asciiTheme="majorHAnsi" w:hAnsiTheme="majorHAnsi" w:cstheme="majorHAnsi"/>
              </w:rPr>
              <w:t>)</w:t>
            </w:r>
          </w:p>
          <w:p w14:paraId="6A71556E" w14:textId="53E376F7" w:rsidR="00F54322" w:rsidRPr="00BB36A5" w:rsidRDefault="00F54322"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Requ</w:t>
            </w:r>
            <w:r w:rsidR="009A5409" w:rsidRPr="00BB36A5">
              <w:rPr>
                <w:rFonts w:asciiTheme="majorHAnsi" w:hAnsiTheme="majorHAnsi" w:cstheme="majorHAnsi"/>
                <w:lang w:val="es-PR"/>
              </w:rPr>
              <w:t>erimiento de</w:t>
            </w:r>
            <w:r w:rsidRPr="00BB36A5">
              <w:rPr>
                <w:rFonts w:asciiTheme="majorHAnsi" w:hAnsiTheme="majorHAnsi" w:cstheme="majorHAnsi"/>
                <w:lang w:val="es-PR"/>
              </w:rPr>
              <w:t xml:space="preserve"> ap</w:t>
            </w:r>
            <w:r w:rsidR="009A5409" w:rsidRPr="00BB36A5">
              <w:rPr>
                <w:rFonts w:asciiTheme="majorHAnsi" w:hAnsiTheme="majorHAnsi" w:cstheme="majorHAnsi"/>
                <w:lang w:val="es-PR"/>
              </w:rPr>
              <w:t>robaciones</w:t>
            </w:r>
            <w:r w:rsidRPr="00BB36A5">
              <w:rPr>
                <w:rFonts w:asciiTheme="majorHAnsi" w:hAnsiTheme="majorHAnsi" w:cstheme="majorHAnsi"/>
                <w:lang w:val="es-PR"/>
              </w:rPr>
              <w:t>, aut</w:t>
            </w:r>
            <w:r w:rsidR="009A5409" w:rsidRPr="00BB36A5">
              <w:rPr>
                <w:rFonts w:asciiTheme="majorHAnsi" w:hAnsiTheme="majorHAnsi" w:cstheme="majorHAnsi"/>
                <w:lang w:val="es-PR"/>
              </w:rPr>
              <w:t>orizaciones</w:t>
            </w:r>
            <w:r w:rsidRPr="00BB36A5">
              <w:rPr>
                <w:rFonts w:asciiTheme="majorHAnsi" w:hAnsiTheme="majorHAnsi" w:cstheme="majorHAnsi"/>
                <w:lang w:val="es-PR"/>
              </w:rPr>
              <w:t xml:space="preserve">, </w:t>
            </w:r>
            <w:r w:rsidR="009A5409" w:rsidRPr="00BB36A5">
              <w:rPr>
                <w:rFonts w:asciiTheme="majorHAnsi" w:hAnsiTheme="majorHAnsi" w:cstheme="majorHAnsi"/>
                <w:lang w:val="es-PR"/>
              </w:rPr>
              <w:t>y revisiones</w:t>
            </w:r>
            <w:r w:rsidRPr="00BB36A5">
              <w:rPr>
                <w:rFonts w:asciiTheme="majorHAnsi" w:hAnsiTheme="majorHAnsi" w:cstheme="majorHAnsi"/>
                <w:lang w:val="es-PR"/>
              </w:rPr>
              <w:t xml:space="preserve"> </w:t>
            </w:r>
          </w:p>
          <w:p w14:paraId="18E73E38" w14:textId="357E9DB8"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Asegurar los activos tales como</w:t>
            </w:r>
            <w:r w:rsidR="00F54322" w:rsidRPr="00BB36A5">
              <w:rPr>
                <w:rFonts w:asciiTheme="majorHAnsi" w:hAnsiTheme="majorHAnsi" w:cstheme="majorHAnsi"/>
                <w:lang w:val="es-PR"/>
              </w:rPr>
              <w:t xml:space="preserve"> </w:t>
            </w:r>
            <w:r w:rsidRPr="00BB36A5">
              <w:rPr>
                <w:rFonts w:asciiTheme="majorHAnsi" w:hAnsiTheme="majorHAnsi" w:cstheme="majorHAnsi"/>
                <w:lang w:val="es-PR"/>
              </w:rPr>
              <w:t>el efectivo y</w:t>
            </w:r>
            <w:r w:rsidR="00F54322" w:rsidRPr="00BB36A5">
              <w:rPr>
                <w:rFonts w:asciiTheme="majorHAnsi" w:hAnsiTheme="majorHAnsi" w:cstheme="majorHAnsi"/>
                <w:lang w:val="es-PR"/>
              </w:rPr>
              <w:t xml:space="preserve"> equi</w:t>
            </w:r>
            <w:r w:rsidRPr="00BB36A5">
              <w:rPr>
                <w:rFonts w:asciiTheme="majorHAnsi" w:hAnsiTheme="majorHAnsi" w:cstheme="majorHAnsi"/>
                <w:lang w:val="es-PR"/>
              </w:rPr>
              <w:t>pos</w:t>
            </w:r>
          </w:p>
          <w:p w14:paraId="7A4ABB57" w14:textId="6AC2C1D4" w:rsidR="00F54322" w:rsidRPr="00BB36A5" w:rsidRDefault="00F54322"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Ma</w:t>
            </w:r>
            <w:r w:rsidR="009A5409" w:rsidRPr="00BB36A5">
              <w:rPr>
                <w:rFonts w:asciiTheme="majorHAnsi" w:hAnsiTheme="majorHAnsi" w:cstheme="majorHAnsi"/>
                <w:lang w:val="es-PR"/>
              </w:rPr>
              <w:t>ntener</w:t>
            </w:r>
            <w:r w:rsidRPr="00BB36A5">
              <w:rPr>
                <w:rFonts w:asciiTheme="majorHAnsi" w:hAnsiTheme="majorHAnsi" w:cstheme="majorHAnsi"/>
                <w:lang w:val="es-PR"/>
              </w:rPr>
              <w:t xml:space="preserve"> </w:t>
            </w:r>
            <w:r w:rsidR="009A5409" w:rsidRPr="00BB36A5">
              <w:rPr>
                <w:rFonts w:asciiTheme="majorHAnsi" w:hAnsiTheme="majorHAnsi" w:cstheme="majorHAnsi"/>
                <w:lang w:val="es-PR"/>
              </w:rPr>
              <w:t>y actualizar periódicamente los inventarios y</w:t>
            </w:r>
            <w:r w:rsidRPr="00BB36A5">
              <w:rPr>
                <w:rFonts w:asciiTheme="majorHAnsi" w:hAnsiTheme="majorHAnsi" w:cstheme="majorHAnsi"/>
                <w:lang w:val="es-PR"/>
              </w:rPr>
              <w:t xml:space="preserve"> </w:t>
            </w:r>
            <w:r w:rsidR="009A5409" w:rsidRPr="00BB36A5">
              <w:rPr>
                <w:rFonts w:asciiTheme="majorHAnsi" w:hAnsiTheme="majorHAnsi" w:cstheme="majorHAnsi"/>
                <w:lang w:val="es-PR"/>
              </w:rPr>
              <w:t>registros</w:t>
            </w:r>
            <w:r w:rsidR="005E580E" w:rsidRPr="00BB36A5">
              <w:rPr>
                <w:rFonts w:asciiTheme="majorHAnsi" w:hAnsiTheme="majorHAnsi" w:cstheme="majorHAnsi"/>
                <w:lang w:val="es-PR"/>
              </w:rPr>
              <w:t xml:space="preserve"> (</w:t>
            </w:r>
            <w:r w:rsidR="009A5409" w:rsidRPr="00BB36A5">
              <w:rPr>
                <w:rFonts w:asciiTheme="majorHAnsi" w:hAnsiTheme="majorHAnsi" w:cstheme="majorHAnsi"/>
                <w:lang w:val="es-PR"/>
              </w:rPr>
              <w:t>Auto evaluaciones</w:t>
            </w:r>
            <w:r w:rsidR="005E580E" w:rsidRPr="00BB36A5">
              <w:rPr>
                <w:rFonts w:asciiTheme="majorHAnsi" w:hAnsiTheme="majorHAnsi" w:cstheme="majorHAnsi"/>
                <w:lang w:val="es-PR"/>
              </w:rPr>
              <w:t>)</w:t>
            </w:r>
          </w:p>
          <w:p w14:paraId="2001E002" w14:textId="77777777" w:rsidR="00F54322" w:rsidRPr="00BB36A5" w:rsidRDefault="00F54322" w:rsidP="001B50CE">
            <w:pPr>
              <w:pStyle w:val="ListParagraph"/>
              <w:ind w:left="251"/>
              <w:rPr>
                <w:rFonts w:asciiTheme="majorHAnsi" w:hAnsiTheme="majorHAnsi" w:cstheme="majorHAnsi"/>
                <w:lang w:val="es-PR"/>
              </w:rPr>
            </w:pPr>
          </w:p>
        </w:tc>
      </w:tr>
      <w:tr w:rsidR="00F54322" w:rsidRPr="00BB36A5" w14:paraId="0C76B208" w14:textId="77777777" w:rsidTr="005E580E">
        <w:trPr>
          <w:trHeight w:val="2160"/>
        </w:trPr>
        <w:tc>
          <w:tcPr>
            <w:tcW w:w="1631" w:type="dxa"/>
          </w:tcPr>
          <w:p w14:paraId="0477D098" w14:textId="56B3096A" w:rsidR="00F54322" w:rsidRPr="00BB36A5" w:rsidRDefault="00622B8B" w:rsidP="001B50CE">
            <w:pPr>
              <w:jc w:val="center"/>
              <w:rPr>
                <w:rFonts w:asciiTheme="majorHAnsi" w:hAnsiTheme="majorHAnsi" w:cstheme="majorHAnsi"/>
              </w:rPr>
            </w:pPr>
            <w:r w:rsidRPr="00BB36A5">
              <w:rPr>
                <w:rFonts w:asciiTheme="majorHAnsi" w:hAnsiTheme="majorHAnsi" w:cstheme="majorHAnsi"/>
                <w:lang w:val="es-PR"/>
              </w:rPr>
              <w:t>Detección</w:t>
            </w:r>
          </w:p>
        </w:tc>
        <w:tc>
          <w:tcPr>
            <w:tcW w:w="2419" w:type="dxa"/>
          </w:tcPr>
          <w:p w14:paraId="038A1C89" w14:textId="1EE7A3C2" w:rsidR="00F54322" w:rsidRPr="00BB36A5" w:rsidRDefault="009A5409" w:rsidP="001B50CE">
            <w:pPr>
              <w:rPr>
                <w:rFonts w:asciiTheme="majorHAnsi" w:hAnsiTheme="majorHAnsi" w:cstheme="majorHAnsi"/>
                <w:lang w:val="es-PR"/>
              </w:rPr>
            </w:pPr>
            <w:r w:rsidRPr="00BB36A5">
              <w:rPr>
                <w:rFonts w:asciiTheme="majorHAnsi" w:hAnsiTheme="majorHAnsi" w:cstheme="majorHAnsi"/>
                <w:lang w:val="es-PR"/>
              </w:rPr>
              <w:t>Identifica errores o irregularidades después que se han producido</w:t>
            </w:r>
            <w:r w:rsidR="007F0BCB" w:rsidRPr="00BB36A5">
              <w:rPr>
                <w:rFonts w:asciiTheme="majorHAnsi" w:hAnsiTheme="majorHAnsi" w:cstheme="majorHAnsi"/>
                <w:lang w:val="es-PR"/>
              </w:rPr>
              <w:t>.</w:t>
            </w:r>
          </w:p>
        </w:tc>
        <w:tc>
          <w:tcPr>
            <w:tcW w:w="5950" w:type="dxa"/>
          </w:tcPr>
          <w:p w14:paraId="6475588C" w14:textId="55AD27E2"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Revisión de los objetivos de rendimiento, pronósticos u otros puntos de referencia para identificar resultados inesperados o inusuales</w:t>
            </w:r>
          </w:p>
          <w:p w14:paraId="04D2EAED" w14:textId="1823FB6A"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Análisis de varianzas</w:t>
            </w:r>
            <w:r w:rsidR="005E580E" w:rsidRPr="00BB36A5">
              <w:rPr>
                <w:rFonts w:asciiTheme="majorHAnsi" w:hAnsiTheme="majorHAnsi" w:cstheme="majorHAnsi"/>
                <w:lang w:val="es-PR"/>
              </w:rPr>
              <w:t xml:space="preserve"> (</w:t>
            </w:r>
            <w:r w:rsidRPr="00BB36A5">
              <w:rPr>
                <w:rFonts w:asciiTheme="majorHAnsi" w:hAnsiTheme="majorHAnsi" w:cstheme="majorHAnsi"/>
                <w:lang w:val="es-PR"/>
              </w:rPr>
              <w:t>Análisis de data</w:t>
            </w:r>
            <w:r w:rsidR="005E580E" w:rsidRPr="00BB36A5">
              <w:rPr>
                <w:rFonts w:asciiTheme="majorHAnsi" w:hAnsiTheme="majorHAnsi" w:cstheme="majorHAnsi"/>
                <w:lang w:val="es-PR"/>
              </w:rPr>
              <w:t>)</w:t>
            </w:r>
          </w:p>
          <w:p w14:paraId="2A8B408B" w14:textId="282C62DF"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Reconciliación de la data</w:t>
            </w:r>
            <w:r w:rsidR="00F54322" w:rsidRPr="00BB36A5">
              <w:rPr>
                <w:rFonts w:asciiTheme="majorHAnsi" w:hAnsiTheme="majorHAnsi" w:cstheme="majorHAnsi"/>
                <w:lang w:val="es-PR"/>
              </w:rPr>
              <w:t xml:space="preserve"> </w:t>
            </w:r>
            <w:r w:rsidRPr="00BB36A5">
              <w:rPr>
                <w:rFonts w:asciiTheme="majorHAnsi" w:hAnsiTheme="majorHAnsi" w:cstheme="majorHAnsi"/>
                <w:lang w:val="es-PR"/>
              </w:rPr>
              <w:t>para</w:t>
            </w:r>
            <w:r w:rsidR="00F54322" w:rsidRPr="00BB36A5">
              <w:rPr>
                <w:rFonts w:asciiTheme="majorHAnsi" w:hAnsiTheme="majorHAnsi" w:cstheme="majorHAnsi"/>
                <w:lang w:val="es-PR"/>
              </w:rPr>
              <w:t xml:space="preserve"> investiga</w:t>
            </w:r>
            <w:r w:rsidRPr="00BB36A5">
              <w:rPr>
                <w:rFonts w:asciiTheme="majorHAnsi" w:hAnsiTheme="majorHAnsi" w:cstheme="majorHAnsi"/>
                <w:lang w:val="es-PR"/>
              </w:rPr>
              <w:t>r</w:t>
            </w:r>
            <w:r w:rsidR="00F54322" w:rsidRPr="00BB36A5">
              <w:rPr>
                <w:rFonts w:asciiTheme="majorHAnsi" w:hAnsiTheme="majorHAnsi" w:cstheme="majorHAnsi"/>
                <w:lang w:val="es-PR"/>
              </w:rPr>
              <w:t xml:space="preserve"> irregul</w:t>
            </w:r>
            <w:r w:rsidRPr="00BB36A5">
              <w:rPr>
                <w:rFonts w:asciiTheme="majorHAnsi" w:hAnsiTheme="majorHAnsi" w:cstheme="majorHAnsi"/>
                <w:lang w:val="es-PR"/>
              </w:rPr>
              <w:t>aridades</w:t>
            </w:r>
          </w:p>
          <w:p w14:paraId="3B37E20C" w14:textId="4CC4DE2F" w:rsidR="00F54322" w:rsidRPr="00BB36A5" w:rsidRDefault="009A5409"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 xml:space="preserve">Llevar a cabo </w:t>
            </w:r>
            <w:r w:rsidR="007F0BCB" w:rsidRPr="00BB36A5">
              <w:rPr>
                <w:rFonts w:asciiTheme="majorHAnsi" w:hAnsiTheme="majorHAnsi" w:cstheme="majorHAnsi"/>
                <w:lang w:val="es-PR"/>
              </w:rPr>
              <w:t>inventarios físicos</w:t>
            </w:r>
            <w:r w:rsidRPr="00BB36A5">
              <w:rPr>
                <w:rFonts w:asciiTheme="majorHAnsi" w:hAnsiTheme="majorHAnsi" w:cstheme="majorHAnsi"/>
                <w:lang w:val="es-PR"/>
              </w:rPr>
              <w:t xml:space="preserve"> de los activos</w:t>
            </w:r>
          </w:p>
          <w:p w14:paraId="69E7C01F" w14:textId="75183B08" w:rsidR="00F54322" w:rsidRPr="00BB36A5" w:rsidRDefault="00F54322"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Audit</w:t>
            </w:r>
            <w:r w:rsidR="007F0BCB" w:rsidRPr="00BB36A5">
              <w:rPr>
                <w:rFonts w:asciiTheme="majorHAnsi" w:hAnsiTheme="majorHAnsi" w:cstheme="majorHAnsi"/>
                <w:lang w:val="es-PR"/>
              </w:rPr>
              <w:t>orias</w:t>
            </w:r>
            <w:r w:rsidR="00E86516" w:rsidRPr="00BB36A5">
              <w:rPr>
                <w:rFonts w:asciiTheme="majorHAnsi" w:hAnsiTheme="majorHAnsi" w:cstheme="majorHAnsi"/>
                <w:lang w:val="es-PR"/>
              </w:rPr>
              <w:t xml:space="preserve"> </w:t>
            </w:r>
            <w:r w:rsidR="007F0BCB" w:rsidRPr="00BB36A5">
              <w:rPr>
                <w:rFonts w:asciiTheme="majorHAnsi" w:hAnsiTheme="majorHAnsi" w:cstheme="majorHAnsi"/>
                <w:lang w:val="es-PR"/>
              </w:rPr>
              <w:t>y monitorias a distancia</w:t>
            </w:r>
          </w:p>
          <w:p w14:paraId="7AC25653" w14:textId="77777777" w:rsidR="00F54322" w:rsidRPr="00BB36A5" w:rsidRDefault="00F54322" w:rsidP="001B50CE">
            <w:pPr>
              <w:pStyle w:val="ListParagraph"/>
              <w:ind w:left="251"/>
              <w:rPr>
                <w:rFonts w:asciiTheme="majorHAnsi" w:hAnsiTheme="majorHAnsi" w:cstheme="majorHAnsi"/>
                <w:lang w:val="es-PR"/>
              </w:rPr>
            </w:pPr>
          </w:p>
        </w:tc>
      </w:tr>
      <w:tr w:rsidR="00F54322" w:rsidRPr="00BB36A5" w14:paraId="7953C6B3" w14:textId="77777777" w:rsidTr="005E580E">
        <w:trPr>
          <w:trHeight w:val="1170"/>
        </w:trPr>
        <w:tc>
          <w:tcPr>
            <w:tcW w:w="1631" w:type="dxa"/>
            <w:tcBorders>
              <w:bottom w:val="single" w:sz="12" w:space="0" w:color="auto"/>
            </w:tcBorders>
          </w:tcPr>
          <w:p w14:paraId="40988465" w14:textId="588DD4A8" w:rsidR="00F54322" w:rsidRPr="00BB36A5" w:rsidRDefault="00F54322" w:rsidP="001B50CE">
            <w:pPr>
              <w:jc w:val="center"/>
              <w:rPr>
                <w:rFonts w:asciiTheme="majorHAnsi" w:hAnsiTheme="majorHAnsi" w:cstheme="majorHAnsi"/>
              </w:rPr>
            </w:pPr>
            <w:r w:rsidRPr="00BB36A5">
              <w:rPr>
                <w:rFonts w:asciiTheme="majorHAnsi" w:hAnsiTheme="majorHAnsi" w:cstheme="majorHAnsi"/>
                <w:lang w:val="es-PR"/>
              </w:rPr>
              <w:t>Correctiv</w:t>
            </w:r>
            <w:r w:rsidR="00CE335A" w:rsidRPr="00BB36A5">
              <w:rPr>
                <w:rFonts w:asciiTheme="majorHAnsi" w:hAnsiTheme="majorHAnsi" w:cstheme="majorHAnsi"/>
                <w:lang w:val="es-PR"/>
              </w:rPr>
              <w:t>o</w:t>
            </w:r>
          </w:p>
        </w:tc>
        <w:tc>
          <w:tcPr>
            <w:tcW w:w="2419" w:type="dxa"/>
            <w:tcBorders>
              <w:bottom w:val="single" w:sz="12" w:space="0" w:color="auto"/>
            </w:tcBorders>
          </w:tcPr>
          <w:p w14:paraId="361BE5F7" w14:textId="479E4C73" w:rsidR="00F54322" w:rsidRPr="00BB36A5" w:rsidRDefault="007F0BCB" w:rsidP="001B50CE">
            <w:pPr>
              <w:rPr>
                <w:rFonts w:asciiTheme="majorHAnsi" w:hAnsiTheme="majorHAnsi" w:cstheme="majorHAnsi"/>
                <w:lang w:val="es-PR"/>
              </w:rPr>
            </w:pPr>
            <w:r w:rsidRPr="00BB36A5">
              <w:rPr>
                <w:rFonts w:asciiTheme="majorHAnsi" w:hAnsiTheme="majorHAnsi" w:cstheme="majorHAnsi"/>
                <w:lang w:val="es-PR"/>
              </w:rPr>
              <w:t>Identifica formas de reaccionar al riesgo después que este haya ocurrido.</w:t>
            </w:r>
          </w:p>
        </w:tc>
        <w:tc>
          <w:tcPr>
            <w:tcW w:w="5950" w:type="dxa"/>
            <w:tcBorders>
              <w:bottom w:val="single" w:sz="12" w:space="0" w:color="auto"/>
            </w:tcBorders>
          </w:tcPr>
          <w:p w14:paraId="67521550" w14:textId="713000A3" w:rsidR="00F54322" w:rsidRPr="00BB36A5" w:rsidRDefault="00F54322"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Monitori</w:t>
            </w:r>
            <w:r w:rsidR="007F0BCB" w:rsidRPr="00BB36A5">
              <w:rPr>
                <w:rFonts w:asciiTheme="majorHAnsi" w:hAnsiTheme="majorHAnsi" w:cstheme="majorHAnsi"/>
                <w:lang w:val="es-PR"/>
              </w:rPr>
              <w:t>a</w:t>
            </w:r>
            <w:r w:rsidRPr="00BB36A5">
              <w:rPr>
                <w:rFonts w:asciiTheme="majorHAnsi" w:hAnsiTheme="majorHAnsi" w:cstheme="majorHAnsi"/>
                <w:lang w:val="es-PR"/>
              </w:rPr>
              <w:t xml:space="preserve"> </w:t>
            </w:r>
            <w:r w:rsidR="007F0BCB" w:rsidRPr="00BB36A5">
              <w:rPr>
                <w:rFonts w:asciiTheme="majorHAnsi" w:hAnsiTheme="majorHAnsi" w:cstheme="majorHAnsi"/>
                <w:lang w:val="es-PR"/>
              </w:rPr>
              <w:t>de los programas activos para</w:t>
            </w:r>
            <w:r w:rsidRPr="00BB36A5">
              <w:rPr>
                <w:rFonts w:asciiTheme="majorHAnsi" w:hAnsiTheme="majorHAnsi" w:cstheme="majorHAnsi"/>
                <w:lang w:val="es-PR"/>
              </w:rPr>
              <w:t xml:space="preserve"> </w:t>
            </w:r>
            <w:r w:rsidR="007F0BCB" w:rsidRPr="00BB36A5">
              <w:rPr>
                <w:rFonts w:asciiTheme="majorHAnsi" w:hAnsiTheme="majorHAnsi" w:cstheme="majorHAnsi"/>
                <w:lang w:val="es-PR"/>
              </w:rPr>
              <w:t xml:space="preserve">identificar el incumplimiento o la debilidad en los controles </w:t>
            </w:r>
            <w:r w:rsidR="005E580E" w:rsidRPr="00BB36A5">
              <w:rPr>
                <w:rFonts w:asciiTheme="majorHAnsi" w:hAnsiTheme="majorHAnsi" w:cstheme="majorHAnsi"/>
                <w:lang w:val="es-PR"/>
              </w:rPr>
              <w:t>(</w:t>
            </w:r>
            <w:r w:rsidR="007F0BCB" w:rsidRPr="00BB36A5">
              <w:rPr>
                <w:rFonts w:asciiTheme="majorHAnsi" w:hAnsiTheme="majorHAnsi" w:cstheme="majorHAnsi"/>
                <w:lang w:val="es-PR"/>
              </w:rPr>
              <w:t>Reportes de Monitoria</w:t>
            </w:r>
            <w:r w:rsidR="005E580E" w:rsidRPr="00BB36A5">
              <w:rPr>
                <w:rFonts w:asciiTheme="majorHAnsi" w:hAnsiTheme="majorHAnsi" w:cstheme="majorHAnsi"/>
                <w:lang w:val="es-PR"/>
              </w:rPr>
              <w:t>)</w:t>
            </w:r>
          </w:p>
          <w:p w14:paraId="07B301AC" w14:textId="239909FF" w:rsidR="00F54322" w:rsidRPr="00BB36A5" w:rsidRDefault="007F0BCB" w:rsidP="00342E9E">
            <w:pPr>
              <w:pStyle w:val="ListParagraph"/>
              <w:numPr>
                <w:ilvl w:val="0"/>
                <w:numId w:val="3"/>
              </w:numPr>
              <w:ind w:left="251" w:hanging="251"/>
              <w:rPr>
                <w:rFonts w:asciiTheme="majorHAnsi" w:hAnsiTheme="majorHAnsi" w:cstheme="majorHAnsi"/>
                <w:lang w:val="es-PR"/>
              </w:rPr>
            </w:pPr>
            <w:r w:rsidRPr="00BB36A5">
              <w:rPr>
                <w:rFonts w:asciiTheme="majorHAnsi" w:hAnsiTheme="majorHAnsi" w:cstheme="majorHAnsi"/>
                <w:lang w:val="es-PR"/>
              </w:rPr>
              <w:t>Uso de sistemas de información automatizados con comprobantes integrados que rachasen procesos no conformes o no permitidos.</w:t>
            </w:r>
          </w:p>
        </w:tc>
      </w:tr>
    </w:tbl>
    <w:p w14:paraId="1DFAA91B" w14:textId="77777777" w:rsidR="00F54322" w:rsidRPr="00BB36A5" w:rsidRDefault="00F54322" w:rsidP="00F54322">
      <w:pPr>
        <w:pStyle w:val="Default"/>
        <w:spacing w:after="9"/>
        <w:jc w:val="both"/>
        <w:rPr>
          <w:rFonts w:asciiTheme="majorHAnsi" w:hAnsiTheme="majorHAnsi" w:cstheme="majorHAnsi"/>
          <w:color w:val="FF0000"/>
          <w:lang w:val="es-PR"/>
        </w:rPr>
      </w:pPr>
    </w:p>
    <w:p w14:paraId="2897E3F0" w14:textId="42495BAD" w:rsidR="005C4E20" w:rsidRPr="00BB36A5" w:rsidRDefault="005C4E20" w:rsidP="00F5432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La gerencia del </w:t>
      </w:r>
      <w:r w:rsidR="00590297" w:rsidRPr="00BB36A5">
        <w:rPr>
          <w:rFonts w:asciiTheme="majorHAnsi" w:hAnsiTheme="majorHAnsi" w:cstheme="majorHAnsi"/>
          <w:color w:val="auto"/>
          <w:lang w:val="es-PR"/>
        </w:rPr>
        <w:t>p</w:t>
      </w:r>
      <w:r w:rsidRPr="00BB36A5">
        <w:rPr>
          <w:rFonts w:asciiTheme="majorHAnsi" w:hAnsiTheme="majorHAnsi" w:cstheme="majorHAnsi"/>
          <w:color w:val="auto"/>
          <w:lang w:val="es-PR"/>
        </w:rPr>
        <w:t xml:space="preserve">rograma </w:t>
      </w:r>
      <w:proofErr w:type="spellStart"/>
      <w:r w:rsidRPr="00BB36A5">
        <w:rPr>
          <w:rFonts w:asciiTheme="majorHAnsi" w:hAnsiTheme="majorHAnsi" w:cstheme="majorHAnsi"/>
          <w:i/>
          <w:iCs/>
          <w:color w:val="auto"/>
          <w:lang w:val="es-PR"/>
        </w:rPr>
        <w:t>Restart</w:t>
      </w:r>
      <w:proofErr w:type="spellEnd"/>
      <w:r w:rsidRPr="00BB36A5">
        <w:rPr>
          <w:rFonts w:asciiTheme="majorHAnsi" w:hAnsiTheme="majorHAnsi" w:cstheme="majorHAnsi"/>
          <w:color w:val="auto"/>
          <w:lang w:val="es-PR"/>
        </w:rPr>
        <w:t xml:space="preserve"> describirá continuamente su evaluación de esas actividades de control.  Las evaluaciones pueden cambia</w:t>
      </w:r>
      <w:r w:rsidR="00590297" w:rsidRPr="00BB36A5">
        <w:rPr>
          <w:rFonts w:asciiTheme="majorHAnsi" w:hAnsiTheme="majorHAnsi" w:cstheme="majorHAnsi"/>
          <w:color w:val="auto"/>
          <w:lang w:val="es-PR"/>
        </w:rPr>
        <w:t>r</w:t>
      </w:r>
      <w:r w:rsidRPr="00BB36A5">
        <w:rPr>
          <w:rFonts w:asciiTheme="majorHAnsi" w:hAnsiTheme="majorHAnsi" w:cstheme="majorHAnsi"/>
          <w:color w:val="auto"/>
          <w:lang w:val="es-PR"/>
        </w:rPr>
        <w:t xml:space="preserve"> al igual que el modo de los riesgos y controles con el tiempo.  El objetivo principal de la descripción es </w:t>
      </w:r>
      <w:r w:rsidR="00F41138" w:rsidRPr="00BB36A5">
        <w:rPr>
          <w:rFonts w:asciiTheme="majorHAnsi" w:hAnsiTheme="majorHAnsi" w:cstheme="majorHAnsi"/>
          <w:color w:val="auto"/>
          <w:lang w:val="es-PR"/>
        </w:rPr>
        <w:t>comunicar</w:t>
      </w:r>
      <w:r w:rsidRPr="00BB36A5">
        <w:rPr>
          <w:rFonts w:asciiTheme="majorHAnsi" w:hAnsiTheme="majorHAnsi" w:cstheme="majorHAnsi"/>
          <w:color w:val="auto"/>
          <w:lang w:val="es-PR"/>
        </w:rPr>
        <w:t xml:space="preserve"> las acciones más recientes </w:t>
      </w:r>
      <w:r w:rsidR="00F41138" w:rsidRPr="00BB36A5">
        <w:rPr>
          <w:rFonts w:asciiTheme="majorHAnsi" w:hAnsiTheme="majorHAnsi" w:cstheme="majorHAnsi"/>
          <w:color w:val="auto"/>
          <w:lang w:val="es-PR"/>
        </w:rPr>
        <w:t>tomadas por la gerencia</w:t>
      </w:r>
      <w:r w:rsidRPr="00BB36A5">
        <w:rPr>
          <w:rFonts w:asciiTheme="majorHAnsi" w:hAnsiTheme="majorHAnsi" w:cstheme="majorHAnsi"/>
          <w:color w:val="auto"/>
          <w:lang w:val="es-PR"/>
        </w:rPr>
        <w:t xml:space="preserve"> para garantizar que las actividades de control asociadas con cada proceso sean: (1) efectivamente diseñadas, (2) que funcionen según </w:t>
      </w:r>
      <w:r w:rsidR="00F41138" w:rsidRPr="00BB36A5">
        <w:rPr>
          <w:rFonts w:asciiTheme="majorHAnsi" w:hAnsiTheme="majorHAnsi" w:cstheme="majorHAnsi"/>
          <w:color w:val="auto"/>
          <w:lang w:val="es-PR"/>
        </w:rPr>
        <w:t xml:space="preserve">fueron </w:t>
      </w:r>
      <w:r w:rsidR="00772655" w:rsidRPr="00BB36A5">
        <w:rPr>
          <w:rFonts w:asciiTheme="majorHAnsi" w:hAnsiTheme="majorHAnsi" w:cstheme="majorHAnsi"/>
          <w:color w:val="auto"/>
          <w:lang w:val="es-PR"/>
        </w:rPr>
        <w:t>establecidas</w:t>
      </w:r>
      <w:r w:rsidRPr="00BB36A5">
        <w:rPr>
          <w:rFonts w:asciiTheme="majorHAnsi" w:hAnsiTheme="majorHAnsi" w:cstheme="majorHAnsi"/>
          <w:color w:val="auto"/>
          <w:lang w:val="es-PR"/>
        </w:rPr>
        <w:t xml:space="preserve"> y (3) mitigar eficazmente los riesgos aplicables. Si la evaluación revela que las actividades de control para un proceso en particular no satisfacen una o más de estas tres condiciones, la </w:t>
      </w:r>
      <w:r w:rsidR="00F41138" w:rsidRPr="00BB36A5">
        <w:rPr>
          <w:rFonts w:asciiTheme="majorHAnsi" w:hAnsiTheme="majorHAnsi" w:cstheme="majorHAnsi"/>
          <w:color w:val="auto"/>
          <w:lang w:val="es-PR"/>
        </w:rPr>
        <w:t>gerencia</w:t>
      </w:r>
      <w:r w:rsidRPr="00BB36A5">
        <w:rPr>
          <w:rFonts w:asciiTheme="majorHAnsi" w:hAnsiTheme="majorHAnsi" w:cstheme="majorHAnsi"/>
          <w:color w:val="auto"/>
          <w:lang w:val="es-PR"/>
        </w:rPr>
        <w:t xml:space="preserve"> debe describir la gravedad del problema y l</w:t>
      </w:r>
      <w:r w:rsidR="00F41138" w:rsidRPr="00BB36A5">
        <w:rPr>
          <w:rFonts w:asciiTheme="majorHAnsi" w:hAnsiTheme="majorHAnsi" w:cstheme="majorHAnsi"/>
          <w:color w:val="auto"/>
          <w:lang w:val="es-PR"/>
        </w:rPr>
        <w:t>as acciones correctivas</w:t>
      </w:r>
      <w:r w:rsidRPr="00BB36A5">
        <w:rPr>
          <w:rFonts w:asciiTheme="majorHAnsi" w:hAnsiTheme="majorHAnsi" w:cstheme="majorHAnsi"/>
          <w:color w:val="auto"/>
          <w:lang w:val="es-PR"/>
        </w:rPr>
        <w:t xml:space="preserve"> que se </w:t>
      </w:r>
      <w:r w:rsidR="00F41138" w:rsidRPr="00BB36A5">
        <w:rPr>
          <w:rFonts w:asciiTheme="majorHAnsi" w:hAnsiTheme="majorHAnsi" w:cstheme="majorHAnsi"/>
          <w:color w:val="auto"/>
          <w:lang w:val="es-PR"/>
        </w:rPr>
        <w:t>estarán</w:t>
      </w:r>
      <w:r w:rsidRPr="00BB36A5">
        <w:rPr>
          <w:rFonts w:asciiTheme="majorHAnsi" w:hAnsiTheme="majorHAnsi" w:cstheme="majorHAnsi"/>
          <w:color w:val="auto"/>
          <w:lang w:val="es-PR"/>
        </w:rPr>
        <w:t xml:space="preserve"> llevando a cabo para resolver el problema.</w:t>
      </w:r>
    </w:p>
    <w:p w14:paraId="0DD1F45A" w14:textId="77777777" w:rsidR="000B208A" w:rsidRPr="00BB36A5" w:rsidRDefault="000B208A" w:rsidP="00034F0A">
      <w:pPr>
        <w:pStyle w:val="Heading4"/>
        <w:rPr>
          <w:rFonts w:cstheme="majorHAnsi"/>
          <w:i w:val="0"/>
          <w:iCs w:val="0"/>
          <w:lang w:val="es-PR"/>
        </w:rPr>
      </w:pPr>
    </w:p>
    <w:p w14:paraId="3F121DE1" w14:textId="77777777" w:rsidR="000B208A" w:rsidRPr="00BB36A5" w:rsidRDefault="000B208A" w:rsidP="00034F0A">
      <w:pPr>
        <w:pStyle w:val="Heading4"/>
        <w:rPr>
          <w:rFonts w:cstheme="majorHAnsi"/>
          <w:i w:val="0"/>
          <w:iCs w:val="0"/>
          <w:lang w:val="es-PR"/>
        </w:rPr>
      </w:pPr>
    </w:p>
    <w:p w14:paraId="306B545D" w14:textId="4A97DD50" w:rsidR="00034F0A" w:rsidRPr="00BB36A5" w:rsidRDefault="00F67991" w:rsidP="00034F0A">
      <w:pPr>
        <w:pStyle w:val="Heading4"/>
        <w:rPr>
          <w:rFonts w:cstheme="majorHAnsi"/>
          <w:lang w:val="es-PR"/>
        </w:rPr>
      </w:pPr>
      <w:r w:rsidRPr="00BB36A5">
        <w:rPr>
          <w:rFonts w:cstheme="majorHAnsi"/>
          <w:i w:val="0"/>
          <w:iCs w:val="0"/>
          <w:lang w:val="es-PR"/>
        </w:rPr>
        <w:t>Sistema de Información Financiera del</w:t>
      </w:r>
      <w:r w:rsidR="00034F0A" w:rsidRPr="00BB36A5">
        <w:rPr>
          <w:rFonts w:cstheme="majorHAnsi"/>
          <w:i w:val="0"/>
          <w:iCs w:val="0"/>
          <w:lang w:val="es-PR"/>
        </w:rPr>
        <w:t xml:space="preserve"> </w:t>
      </w:r>
      <w:r w:rsidRPr="00BB36A5">
        <w:rPr>
          <w:rFonts w:cstheme="majorHAnsi"/>
          <w:i w:val="0"/>
          <w:iCs w:val="0"/>
          <w:lang w:val="es-PR"/>
        </w:rPr>
        <w:t>Departamento</w:t>
      </w:r>
      <w:r w:rsidR="00034F0A" w:rsidRPr="00BB36A5">
        <w:rPr>
          <w:rFonts w:cstheme="majorHAnsi"/>
          <w:i w:val="0"/>
          <w:iCs w:val="0"/>
          <w:lang w:val="es-PR"/>
        </w:rPr>
        <w:t xml:space="preserve"> </w:t>
      </w:r>
      <w:r w:rsidRPr="00BB36A5">
        <w:rPr>
          <w:rFonts w:cstheme="majorHAnsi"/>
          <w:i w:val="0"/>
          <w:iCs w:val="0"/>
          <w:lang w:val="es-PR"/>
        </w:rPr>
        <w:t>de</w:t>
      </w:r>
      <w:r w:rsidR="00034F0A" w:rsidRPr="00BB36A5">
        <w:rPr>
          <w:rFonts w:cstheme="majorHAnsi"/>
          <w:i w:val="0"/>
          <w:iCs w:val="0"/>
          <w:lang w:val="es-PR"/>
        </w:rPr>
        <w:t xml:space="preserve"> </w:t>
      </w:r>
      <w:r w:rsidRPr="00BB36A5">
        <w:rPr>
          <w:rFonts w:cstheme="majorHAnsi"/>
          <w:i w:val="0"/>
          <w:iCs w:val="0"/>
          <w:lang w:val="es-PR"/>
        </w:rPr>
        <w:t>Educación</w:t>
      </w:r>
      <w:r w:rsidR="00034F0A" w:rsidRPr="00BB36A5">
        <w:rPr>
          <w:rFonts w:cstheme="majorHAnsi"/>
          <w:i w:val="0"/>
          <w:iCs w:val="0"/>
          <w:lang w:val="es-PR"/>
        </w:rPr>
        <w:t xml:space="preserve">, </w:t>
      </w:r>
      <w:r w:rsidRPr="00BB36A5">
        <w:rPr>
          <w:rFonts w:cstheme="majorHAnsi"/>
          <w:i w:val="0"/>
          <w:iCs w:val="0"/>
          <w:lang w:val="es-PR"/>
        </w:rPr>
        <w:t xml:space="preserve">Controles de </w:t>
      </w:r>
      <w:r w:rsidR="00034F0A" w:rsidRPr="00BB36A5">
        <w:rPr>
          <w:rFonts w:cstheme="majorHAnsi"/>
          <w:i w:val="0"/>
          <w:iCs w:val="0"/>
          <w:lang w:val="es-PR"/>
        </w:rPr>
        <w:t>SIFDE</w:t>
      </w:r>
      <w:r w:rsidR="00034F0A" w:rsidRPr="00BB36A5">
        <w:rPr>
          <w:rFonts w:cstheme="majorHAnsi"/>
          <w:lang w:val="es-PR"/>
        </w:rPr>
        <w:t xml:space="preserve"> </w:t>
      </w:r>
    </w:p>
    <w:p w14:paraId="58F705CE" w14:textId="4FD65039" w:rsidR="000B208A" w:rsidRPr="00BB36A5" w:rsidRDefault="000B208A"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DEPR supervisa todos los aspectos de la administración de los fondos para proporcionar la asistencia necesaria de los fondos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y los servicios requeridos para satisfacer todas las necesidades de las </w:t>
      </w:r>
      <w:r w:rsidRPr="00BB36A5">
        <w:rPr>
          <w:rFonts w:asciiTheme="majorHAnsi" w:hAnsiTheme="majorHAnsi" w:cstheme="majorHAnsi"/>
          <w:color w:val="000000" w:themeColor="text1"/>
          <w:lang w:val="es-PR"/>
        </w:rPr>
        <w:lastRenderedPageBreak/>
        <w:t xml:space="preserve">escuelas públicas y privadas, el sistema </w:t>
      </w:r>
      <w:proofErr w:type="gramStart"/>
      <w:r w:rsidRPr="00BB36A5">
        <w:rPr>
          <w:rFonts w:asciiTheme="majorHAnsi" w:hAnsiTheme="majorHAnsi" w:cstheme="majorHAnsi"/>
          <w:color w:val="000000" w:themeColor="text1"/>
          <w:lang w:val="es-PR"/>
        </w:rPr>
        <w:t>de  rendición</w:t>
      </w:r>
      <w:proofErr w:type="gramEnd"/>
      <w:r w:rsidRPr="00BB36A5">
        <w:rPr>
          <w:rFonts w:asciiTheme="majorHAnsi" w:hAnsiTheme="majorHAnsi" w:cstheme="majorHAnsi"/>
          <w:color w:val="000000" w:themeColor="text1"/>
          <w:lang w:val="es-PR"/>
        </w:rPr>
        <w:t xml:space="preserve"> de cuentas sobre el manejo de los fondos que se aplicará, será el mismo que se utiliza para otros fondos federales</w:t>
      </w:r>
      <w:r w:rsidRPr="00BB36A5">
        <w:rPr>
          <w:rStyle w:val="FootnoteReference"/>
          <w:rFonts w:asciiTheme="majorHAnsi" w:hAnsiTheme="majorHAnsi" w:cstheme="majorHAnsi"/>
          <w:color w:val="000000" w:themeColor="text1"/>
        </w:rPr>
        <w:footnoteReference w:id="10"/>
      </w:r>
      <w:r w:rsidRPr="00BB36A5">
        <w:rPr>
          <w:rFonts w:asciiTheme="majorHAnsi" w:hAnsiTheme="majorHAnsi" w:cstheme="majorHAnsi"/>
          <w:color w:val="000000" w:themeColor="text1"/>
          <w:lang w:val="es-PR"/>
        </w:rPr>
        <w:t>.</w:t>
      </w:r>
    </w:p>
    <w:p w14:paraId="5C188F69" w14:textId="77777777" w:rsidR="002C0E6B" w:rsidRPr="00BB36A5" w:rsidRDefault="002C0E6B" w:rsidP="002C0E6B">
      <w:pPr>
        <w:pStyle w:val="Default"/>
        <w:spacing w:after="9"/>
        <w:jc w:val="both"/>
        <w:rPr>
          <w:rFonts w:asciiTheme="majorHAnsi" w:hAnsiTheme="majorHAnsi" w:cstheme="majorHAnsi"/>
          <w:color w:val="000000" w:themeColor="text1"/>
          <w:lang w:val="es-PR"/>
        </w:rPr>
      </w:pPr>
    </w:p>
    <w:p w14:paraId="35D1BFE7" w14:textId="254CB82B" w:rsidR="003D4950" w:rsidRPr="00BB36A5" w:rsidRDefault="003D4950"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Tras el paso de los años, el DEPR ha implementado una serie de medidas para mejorar la contabilidad y el mantenimiento de registros de los ingresos y desembolsos de los fondos federales y estatales. Entre las medidas implementadas, el DEPR cambió su sistema financiero y puso en marcha el "Sistema de Información Financiera del Departamento de Educación" (SIFDE). La División de Finanzas elaboró un manual de procedimientos en el que describe los pasos fundamentales para registrar correctamente las transacciones contables del DEPR.</w:t>
      </w:r>
    </w:p>
    <w:p w14:paraId="57DB1732" w14:textId="02E9FC75" w:rsidR="002C0E6B" w:rsidRPr="00BB36A5" w:rsidRDefault="002C0E6B" w:rsidP="002C0E6B">
      <w:pPr>
        <w:pStyle w:val="Default"/>
        <w:spacing w:after="9"/>
        <w:jc w:val="both"/>
        <w:rPr>
          <w:rFonts w:asciiTheme="majorHAnsi" w:hAnsiTheme="majorHAnsi" w:cstheme="majorHAnsi"/>
          <w:color w:val="000000" w:themeColor="text1"/>
          <w:lang w:val="es-PR"/>
        </w:rPr>
      </w:pPr>
    </w:p>
    <w:p w14:paraId="6586CAAD" w14:textId="6BD08B19" w:rsidR="003D4950" w:rsidRPr="00BB36A5" w:rsidRDefault="003D4950"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SIFDE está diseñado para mantener rastro y evidencia adecuada para propósito de poder auditar las transacciones contables del DEPR y a su vez poder cumplir con </w:t>
      </w:r>
      <w:r w:rsidRPr="00BB36A5">
        <w:rPr>
          <w:rFonts w:asciiTheme="majorHAnsi" w:hAnsiTheme="majorHAnsi" w:cstheme="majorHAnsi"/>
          <w:b/>
          <w:bCs/>
          <w:color w:val="000000" w:themeColor="text1"/>
          <w:lang w:val="es-PR"/>
        </w:rPr>
        <w:t xml:space="preserve">2 CFR 200.302, </w:t>
      </w:r>
      <w:r w:rsidRPr="00BB36A5">
        <w:rPr>
          <w:rFonts w:asciiTheme="majorHAnsi" w:hAnsiTheme="majorHAnsi" w:cstheme="majorHAnsi"/>
          <w:color w:val="000000" w:themeColor="text1"/>
          <w:lang w:val="es-PR"/>
        </w:rPr>
        <w:t>el cual requiere un rastreo de fondos a un nivel de gastos adecuado para establecer que dichos fondos se han utilizado de acuerdo con los estatutos federales, reglamentos y los términos y condiciones de la adjudicación federal. El sistema permite al DEPR realizar seguimiento</w:t>
      </w:r>
      <w:r w:rsidR="0092656F"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de las obligaciones</w:t>
      </w:r>
      <w:r w:rsidR="0092656F" w:rsidRPr="00BB36A5">
        <w:rPr>
          <w:rFonts w:asciiTheme="majorHAnsi" w:hAnsiTheme="majorHAnsi" w:cstheme="majorHAnsi"/>
          <w:color w:val="000000" w:themeColor="text1"/>
          <w:lang w:val="es-PR"/>
        </w:rPr>
        <w:t xml:space="preserve"> de fondos</w:t>
      </w:r>
      <w:r w:rsidRPr="00BB36A5">
        <w:rPr>
          <w:rFonts w:asciiTheme="majorHAnsi" w:hAnsiTheme="majorHAnsi" w:cstheme="majorHAnsi"/>
          <w:color w:val="000000" w:themeColor="text1"/>
          <w:lang w:val="es-PR"/>
        </w:rPr>
        <w:t xml:space="preserve"> a todos los niveles dentro del período de disponibilidad (es decir, escuelas comunitarias, municipios</w:t>
      </w:r>
      <w:r w:rsidR="0092656F"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regiones y escuelas </w:t>
      </w:r>
      <w:r w:rsidR="0092656F" w:rsidRPr="00BB36A5">
        <w:rPr>
          <w:rFonts w:asciiTheme="majorHAnsi" w:hAnsiTheme="majorHAnsi" w:cstheme="majorHAnsi"/>
          <w:color w:val="000000" w:themeColor="text1"/>
          <w:lang w:val="es-PR"/>
        </w:rPr>
        <w:t>privadas</w:t>
      </w:r>
      <w:r w:rsidRPr="00BB36A5">
        <w:rPr>
          <w:rFonts w:asciiTheme="majorHAnsi" w:hAnsiTheme="majorHAnsi" w:cstheme="majorHAnsi"/>
          <w:color w:val="000000" w:themeColor="text1"/>
          <w:lang w:val="es-PR"/>
        </w:rPr>
        <w:t>).</w:t>
      </w:r>
    </w:p>
    <w:p w14:paraId="2B77DB04" w14:textId="3019FB1A" w:rsidR="003D4950" w:rsidRPr="00BB36A5" w:rsidRDefault="003D4950" w:rsidP="002C0E6B">
      <w:pPr>
        <w:pStyle w:val="Default"/>
        <w:spacing w:after="9"/>
        <w:jc w:val="both"/>
        <w:rPr>
          <w:rFonts w:asciiTheme="majorHAnsi" w:hAnsiTheme="majorHAnsi" w:cstheme="majorHAnsi"/>
          <w:color w:val="000000" w:themeColor="text1"/>
          <w:lang w:val="es-PR"/>
        </w:rPr>
      </w:pPr>
    </w:p>
    <w:p w14:paraId="6FC2D555" w14:textId="170FF578" w:rsidR="003D4950" w:rsidRPr="00BB36A5" w:rsidRDefault="002D0D8F"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Además, el sistema almacena contratos de servicios profesionales (incluye las modificaciones, cambio en las órdenes de compra, requisiciones y ordenes de compras), al igual que las facturas cargadas al sistema por parte de los proveedores junto con su documentación de apoyo. El DEPR ha designado a un personal que lidera el desarrollo de cada iniciativa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esta persona es responsable de revisar las facturas junto con la documentación de apoyo y luego</w:t>
      </w:r>
      <w:r w:rsidR="00BC721C"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certifica que el servicio prestado está de acuerdo con el contrato o la orden de compra. Posteriormente, las Unidades Fiscales (SAAF) analizan la documentación de apoyo y verifican que dicha documentación cumple con las regulaciones locales y federales. </w:t>
      </w:r>
      <w:r w:rsidR="006153CF" w:rsidRPr="00BB36A5">
        <w:rPr>
          <w:rFonts w:asciiTheme="majorHAnsi" w:hAnsiTheme="majorHAnsi" w:cstheme="majorHAnsi"/>
          <w:color w:val="000000" w:themeColor="text1"/>
          <w:lang w:val="es-PR"/>
        </w:rPr>
        <w:t>Luego de ese proceso</w:t>
      </w:r>
      <w:r w:rsidR="00BC721C"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el coordinador del programa o representante autorizado aprueba la documentación. Es importante tener en cuenta que el sistema realiza un seguimiento de la secuencia de tareas y procedimientos re</w:t>
      </w:r>
      <w:r w:rsidR="006153CF" w:rsidRPr="00BB36A5">
        <w:rPr>
          <w:rFonts w:asciiTheme="majorHAnsi" w:hAnsiTheme="majorHAnsi" w:cstheme="majorHAnsi"/>
          <w:color w:val="000000" w:themeColor="text1"/>
          <w:lang w:val="es-PR"/>
        </w:rPr>
        <w:t>ferente</w:t>
      </w:r>
      <w:r w:rsidRPr="00BB36A5">
        <w:rPr>
          <w:rFonts w:asciiTheme="majorHAnsi" w:hAnsiTheme="majorHAnsi" w:cstheme="majorHAnsi"/>
          <w:color w:val="000000" w:themeColor="text1"/>
          <w:lang w:val="es-PR"/>
        </w:rPr>
        <w:t xml:space="preserve"> a los pagos de </w:t>
      </w:r>
      <w:r w:rsidR="006153CF"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obligaciones.</w:t>
      </w:r>
    </w:p>
    <w:p w14:paraId="5CD6E422" w14:textId="77777777" w:rsidR="002C0E6B" w:rsidRPr="00BB36A5" w:rsidRDefault="002C0E6B" w:rsidP="002C0E6B">
      <w:pPr>
        <w:pStyle w:val="Default"/>
        <w:spacing w:after="9"/>
        <w:jc w:val="both"/>
        <w:rPr>
          <w:rFonts w:asciiTheme="majorHAnsi" w:hAnsiTheme="majorHAnsi" w:cstheme="majorHAnsi"/>
          <w:color w:val="000000" w:themeColor="text1"/>
          <w:lang w:val="es-PR"/>
        </w:rPr>
      </w:pPr>
    </w:p>
    <w:p w14:paraId="5FB45761" w14:textId="5A48B2FE" w:rsidR="005F6C1E" w:rsidRPr="00BB36A5" w:rsidRDefault="00B42E60"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sistema de SIFDE permite al DEPR descargar cualquier tipo de informes financieros y consultas a las actividades supervisadas a todos los niveles. La SAAF</w:t>
      </w:r>
      <w:r w:rsidR="001A5A37" w:rsidRPr="00BB36A5">
        <w:rPr>
          <w:rFonts w:asciiTheme="majorHAnsi" w:hAnsiTheme="majorHAnsi" w:cstheme="majorHAnsi"/>
          <w:color w:val="000000" w:themeColor="text1"/>
          <w:lang w:val="es-PR"/>
        </w:rPr>
        <w:t xml:space="preserve"> va a monitorear</w:t>
      </w:r>
      <w:r w:rsidRPr="00BB36A5">
        <w:rPr>
          <w:rFonts w:asciiTheme="majorHAnsi" w:hAnsiTheme="majorHAnsi" w:cstheme="majorHAnsi"/>
          <w:color w:val="000000" w:themeColor="text1"/>
          <w:lang w:val="es-PR"/>
        </w:rPr>
        <w:t xml:space="preserve"> las transacciones de </w:t>
      </w:r>
      <w:proofErr w:type="spellStart"/>
      <w:r w:rsidR="001A5A37"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 xml:space="preserve">revisando las consultas de gastos y comprobando </w:t>
      </w:r>
      <w:r w:rsidR="001A5A37" w:rsidRPr="00BB36A5">
        <w:rPr>
          <w:rFonts w:asciiTheme="majorHAnsi" w:hAnsiTheme="majorHAnsi" w:cstheme="majorHAnsi"/>
          <w:color w:val="000000" w:themeColor="text1"/>
          <w:lang w:val="es-PR"/>
        </w:rPr>
        <w:t>cualquier</w:t>
      </w:r>
      <w:r w:rsidRPr="00BB36A5">
        <w:rPr>
          <w:rFonts w:asciiTheme="majorHAnsi" w:hAnsiTheme="majorHAnsi" w:cstheme="majorHAnsi"/>
          <w:color w:val="000000" w:themeColor="text1"/>
          <w:lang w:val="es-PR"/>
        </w:rPr>
        <w:t xml:space="preserve"> </w:t>
      </w:r>
      <w:r w:rsidR="001A5A37" w:rsidRPr="00BB36A5">
        <w:rPr>
          <w:rFonts w:asciiTheme="majorHAnsi" w:hAnsiTheme="majorHAnsi" w:cstheme="majorHAnsi"/>
          <w:color w:val="000000" w:themeColor="text1"/>
          <w:lang w:val="es-PR"/>
        </w:rPr>
        <w:t>irregularidad</w:t>
      </w:r>
      <w:r w:rsidRPr="00BB36A5">
        <w:rPr>
          <w:rFonts w:asciiTheme="majorHAnsi" w:hAnsiTheme="majorHAnsi" w:cstheme="majorHAnsi"/>
          <w:color w:val="000000" w:themeColor="text1"/>
          <w:lang w:val="es-PR"/>
        </w:rPr>
        <w:t xml:space="preserve">. Además, el </w:t>
      </w:r>
      <w:r w:rsidR="001A5A37" w:rsidRPr="00BB36A5">
        <w:rPr>
          <w:rFonts w:asciiTheme="majorHAnsi" w:hAnsiTheme="majorHAnsi" w:cstheme="majorHAnsi"/>
          <w:color w:val="000000" w:themeColor="text1"/>
          <w:lang w:val="es-PR"/>
        </w:rPr>
        <w:t xml:space="preserve">sistema </w:t>
      </w:r>
      <w:r w:rsidRPr="00BB36A5">
        <w:rPr>
          <w:rFonts w:asciiTheme="majorHAnsi" w:hAnsiTheme="majorHAnsi" w:cstheme="majorHAnsi"/>
          <w:color w:val="000000" w:themeColor="text1"/>
          <w:lang w:val="es-PR"/>
        </w:rPr>
        <w:t xml:space="preserve">SIFDE también está implementando la carga de los inventarios físicos de equipos ubicados en las escuelas públicas. Estos datos también se recopilan electrónicamente para </w:t>
      </w:r>
      <w:r w:rsidR="001A5A37"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escuelas privadas. Esta característica ayuda a</w:t>
      </w:r>
      <w:r w:rsidR="001A5A37"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DE</w:t>
      </w:r>
      <w:r w:rsidR="001A5A37"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rastrear la ubicación del equipo comprado con fondos </w:t>
      </w:r>
      <w:proofErr w:type="spellStart"/>
      <w:r w:rsidR="001A5A37"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y otra información respecto a dicho equipo.</w:t>
      </w:r>
    </w:p>
    <w:p w14:paraId="32078F2B" w14:textId="77777777" w:rsidR="00BC721C" w:rsidRPr="00BB36A5" w:rsidRDefault="00BC721C" w:rsidP="002C0E6B">
      <w:pPr>
        <w:pStyle w:val="Default"/>
        <w:spacing w:after="9"/>
        <w:jc w:val="both"/>
        <w:rPr>
          <w:rFonts w:asciiTheme="majorHAnsi" w:hAnsiTheme="majorHAnsi" w:cstheme="majorHAnsi"/>
          <w:color w:val="000000" w:themeColor="text1"/>
          <w:lang w:val="es-PR"/>
        </w:rPr>
      </w:pPr>
    </w:p>
    <w:p w14:paraId="3474D7F3" w14:textId="3A75299B" w:rsidR="005F6C1E" w:rsidRPr="00BB36A5" w:rsidRDefault="005F6C1E"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sistema SIFDE proporciona la capacidad de presupuestar fondos otorgados </w:t>
      </w:r>
      <w:r w:rsidR="0053471C" w:rsidRPr="00BB36A5">
        <w:rPr>
          <w:rFonts w:asciiTheme="majorHAnsi" w:hAnsiTheme="majorHAnsi" w:cstheme="majorHAnsi"/>
          <w:color w:val="000000" w:themeColor="text1"/>
          <w:lang w:val="es-PR"/>
        </w:rPr>
        <w:t>a un</w:t>
      </w:r>
      <w:r w:rsidRPr="00BB36A5">
        <w:rPr>
          <w:rFonts w:asciiTheme="majorHAnsi" w:hAnsiTheme="majorHAnsi" w:cstheme="majorHAnsi"/>
          <w:color w:val="000000" w:themeColor="text1"/>
          <w:lang w:val="es-PR"/>
        </w:rPr>
        <w:t xml:space="preserve"> nivel micro a macro (es decir, fondos estatales o federales). Los fondos se pueden presupuestar </w:t>
      </w:r>
      <w:r w:rsidR="0053471C"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un nivel específico de objeto de gasto, código </w:t>
      </w:r>
      <w:r w:rsidR="0053471C" w:rsidRPr="00BB36A5">
        <w:rPr>
          <w:rFonts w:asciiTheme="majorHAnsi" w:hAnsiTheme="majorHAnsi" w:cstheme="majorHAnsi"/>
          <w:color w:val="000000" w:themeColor="text1"/>
          <w:lang w:val="es-PR"/>
        </w:rPr>
        <w:t>de la escuela</w:t>
      </w:r>
      <w:r w:rsidRPr="00BB36A5">
        <w:rPr>
          <w:rFonts w:asciiTheme="majorHAnsi" w:hAnsiTheme="majorHAnsi" w:cstheme="majorHAnsi"/>
          <w:color w:val="000000" w:themeColor="text1"/>
          <w:lang w:val="es-PR"/>
        </w:rPr>
        <w:t>, número de proveedor, período de disponibilidad y c</w:t>
      </w:r>
      <w:r w:rsidR="0053471C" w:rsidRPr="00BB36A5">
        <w:rPr>
          <w:rFonts w:asciiTheme="majorHAnsi" w:hAnsiTheme="majorHAnsi" w:cstheme="majorHAnsi"/>
          <w:color w:val="000000" w:themeColor="text1"/>
          <w:lang w:val="es-PR"/>
        </w:rPr>
        <w:t>ifra</w:t>
      </w:r>
      <w:r w:rsidRPr="00BB36A5">
        <w:rPr>
          <w:rFonts w:asciiTheme="majorHAnsi" w:hAnsiTheme="majorHAnsi" w:cstheme="majorHAnsi"/>
          <w:color w:val="000000" w:themeColor="text1"/>
          <w:lang w:val="es-PR"/>
        </w:rPr>
        <w:t xml:space="preserve"> de gastos para escuelas públicas y privadas. Este tipo de características </w:t>
      </w:r>
      <w:r w:rsidR="0053471C" w:rsidRPr="00BB36A5">
        <w:rPr>
          <w:rFonts w:asciiTheme="majorHAnsi" w:hAnsiTheme="majorHAnsi" w:cstheme="majorHAnsi"/>
          <w:color w:val="000000" w:themeColor="text1"/>
          <w:lang w:val="es-PR"/>
        </w:rPr>
        <w:t>en el sistema</w:t>
      </w:r>
      <w:r w:rsidRPr="00BB36A5">
        <w:rPr>
          <w:rFonts w:asciiTheme="majorHAnsi" w:hAnsiTheme="majorHAnsi" w:cstheme="majorHAnsi"/>
          <w:color w:val="000000" w:themeColor="text1"/>
          <w:lang w:val="es-PR"/>
        </w:rPr>
        <w:t xml:space="preserve"> SIFDE permite que el </w:t>
      </w:r>
      <w:r w:rsidR="00BC721C"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de </w:t>
      </w:r>
      <w:proofErr w:type="spellStart"/>
      <w:r w:rsidRPr="00BB36A5">
        <w:rPr>
          <w:rFonts w:asciiTheme="majorHAnsi" w:hAnsiTheme="majorHAnsi" w:cstheme="majorHAnsi"/>
          <w:i/>
          <w:iCs/>
          <w:color w:val="000000" w:themeColor="text1"/>
          <w:lang w:val="es-PR"/>
        </w:rPr>
        <w:t>Re</w:t>
      </w:r>
      <w:r w:rsidR="0053471C" w:rsidRPr="00BB36A5">
        <w:rPr>
          <w:rFonts w:asciiTheme="majorHAnsi" w:hAnsiTheme="majorHAnsi" w:cstheme="majorHAnsi"/>
          <w:i/>
          <w:iCs/>
          <w:color w:val="000000" w:themeColor="text1"/>
          <w:lang w:val="es-PR"/>
        </w:rPr>
        <w:t>start</w:t>
      </w:r>
      <w:proofErr w:type="spellEnd"/>
      <w:r w:rsidRPr="00BB36A5">
        <w:rPr>
          <w:rFonts w:asciiTheme="majorHAnsi" w:hAnsiTheme="majorHAnsi" w:cstheme="majorHAnsi"/>
          <w:color w:val="000000" w:themeColor="text1"/>
          <w:lang w:val="es-PR"/>
        </w:rPr>
        <w:t xml:space="preserve"> y/o área limiten el gasto estrictamente a lo que se aprobó en el presupuesto de los Planes de </w:t>
      </w:r>
      <w:r w:rsidRPr="00BB36A5">
        <w:rPr>
          <w:rFonts w:asciiTheme="majorHAnsi" w:hAnsiTheme="majorHAnsi" w:cstheme="majorHAnsi"/>
          <w:color w:val="000000" w:themeColor="text1"/>
          <w:lang w:val="es-PR"/>
        </w:rPr>
        <w:lastRenderedPageBreak/>
        <w:t xml:space="preserve">Trabajo y/o Proyectos para </w:t>
      </w:r>
      <w:r w:rsidR="0053471C"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 xml:space="preserve">escuelas públicas y privadas. Además, SIFDE está diseñado para mejorar </w:t>
      </w:r>
      <w:r w:rsidR="0053471C" w:rsidRPr="00BB36A5">
        <w:rPr>
          <w:rFonts w:asciiTheme="majorHAnsi" w:hAnsiTheme="majorHAnsi" w:cstheme="majorHAnsi"/>
          <w:color w:val="000000" w:themeColor="text1"/>
          <w:lang w:val="es-PR"/>
        </w:rPr>
        <w:t>el manejo</w:t>
      </w:r>
      <w:r w:rsidRPr="00BB36A5">
        <w:rPr>
          <w:rFonts w:asciiTheme="majorHAnsi" w:hAnsiTheme="majorHAnsi" w:cstheme="majorHAnsi"/>
          <w:color w:val="000000" w:themeColor="text1"/>
          <w:lang w:val="es-PR"/>
        </w:rPr>
        <w:t xml:space="preserve"> de los fondos a nivel escolar, específicamente</w:t>
      </w:r>
      <w:r w:rsidR="0053471C"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para reducir el tiempo que transcurre entre el desembolso y la solicitud de reembolso de </w:t>
      </w:r>
      <w:r w:rsidR="0053471C" w:rsidRPr="00BB36A5">
        <w:rPr>
          <w:rFonts w:asciiTheme="majorHAnsi" w:hAnsiTheme="majorHAnsi" w:cstheme="majorHAnsi"/>
          <w:color w:val="000000" w:themeColor="text1"/>
          <w:lang w:val="es-PR"/>
        </w:rPr>
        <w:t xml:space="preserve">dichos </w:t>
      </w:r>
      <w:r w:rsidRPr="00BB36A5">
        <w:rPr>
          <w:rFonts w:asciiTheme="majorHAnsi" w:hAnsiTheme="majorHAnsi" w:cstheme="majorHAnsi"/>
          <w:color w:val="000000" w:themeColor="text1"/>
          <w:lang w:val="es-PR"/>
        </w:rPr>
        <w:t xml:space="preserve">fondos al Gobierno Federal. El sistema SIFDE permite al personal de contabilidad realizar </w:t>
      </w:r>
      <w:r w:rsidR="0053471C" w:rsidRPr="00BB36A5">
        <w:rPr>
          <w:rFonts w:asciiTheme="majorHAnsi" w:hAnsiTheme="majorHAnsi" w:cstheme="majorHAnsi"/>
          <w:color w:val="000000" w:themeColor="text1"/>
          <w:lang w:val="es-PR"/>
        </w:rPr>
        <w:t>revisiones</w:t>
      </w:r>
      <w:r w:rsidRPr="00BB36A5">
        <w:rPr>
          <w:rFonts w:asciiTheme="majorHAnsi" w:hAnsiTheme="majorHAnsi" w:cstheme="majorHAnsi"/>
          <w:color w:val="000000" w:themeColor="text1"/>
          <w:lang w:val="es-PR"/>
        </w:rPr>
        <w:t xml:space="preserve"> contables para validar los datos registrados en el sistema. También permite a</w:t>
      </w:r>
      <w:r w:rsidR="0053471C"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DE</w:t>
      </w:r>
      <w:r w:rsidR="0053471C"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realizar un seguimiento y supervisar los gastos incurridos</w:t>
      </w:r>
      <w:r w:rsidR="0053471C"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mediante la comprobación de las compras</w:t>
      </w:r>
      <w:r w:rsidR="0053471C"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entre otr</w:t>
      </w:r>
      <w:r w:rsidR="0053471C" w:rsidRPr="00BB36A5">
        <w:rPr>
          <w:rFonts w:asciiTheme="majorHAnsi" w:hAnsiTheme="majorHAnsi" w:cstheme="majorHAnsi"/>
          <w:color w:val="000000" w:themeColor="text1"/>
          <w:lang w:val="es-PR"/>
        </w:rPr>
        <w:t>o tipo de información</w:t>
      </w:r>
      <w:r w:rsidRPr="00BB36A5">
        <w:rPr>
          <w:rFonts w:asciiTheme="majorHAnsi" w:hAnsiTheme="majorHAnsi" w:cstheme="majorHAnsi"/>
          <w:color w:val="000000" w:themeColor="text1"/>
          <w:lang w:val="es-PR"/>
        </w:rPr>
        <w:t xml:space="preserve"> que p</w:t>
      </w:r>
      <w:r w:rsidR="0053471C" w:rsidRPr="00BB36A5">
        <w:rPr>
          <w:rFonts w:asciiTheme="majorHAnsi" w:hAnsiTheme="majorHAnsi" w:cstheme="majorHAnsi"/>
          <w:color w:val="000000" w:themeColor="text1"/>
          <w:lang w:val="es-PR"/>
        </w:rPr>
        <w:t>ueda</w:t>
      </w:r>
      <w:r w:rsidRPr="00BB36A5">
        <w:rPr>
          <w:rFonts w:asciiTheme="majorHAnsi" w:hAnsiTheme="majorHAnsi" w:cstheme="majorHAnsi"/>
          <w:color w:val="000000" w:themeColor="text1"/>
          <w:lang w:val="es-PR"/>
        </w:rPr>
        <w:t xml:space="preserve"> ayuda</w:t>
      </w:r>
      <w:r w:rsidR="0053471C" w:rsidRPr="00BB36A5">
        <w:rPr>
          <w:rFonts w:asciiTheme="majorHAnsi" w:hAnsiTheme="majorHAnsi" w:cstheme="majorHAnsi"/>
          <w:color w:val="000000" w:themeColor="text1"/>
          <w:lang w:val="es-PR"/>
        </w:rPr>
        <w:t>r</w:t>
      </w:r>
      <w:r w:rsidRPr="00BB36A5">
        <w:rPr>
          <w:rFonts w:asciiTheme="majorHAnsi" w:hAnsiTheme="majorHAnsi" w:cstheme="majorHAnsi"/>
          <w:color w:val="000000" w:themeColor="text1"/>
          <w:lang w:val="es-PR"/>
        </w:rPr>
        <w:t xml:space="preserve"> a identificar áreas de riesgo.</w:t>
      </w:r>
    </w:p>
    <w:p w14:paraId="27F12EC9" w14:textId="77777777" w:rsidR="005F6C1E" w:rsidRPr="00BB36A5" w:rsidRDefault="005F6C1E" w:rsidP="002C0E6B">
      <w:pPr>
        <w:pStyle w:val="Default"/>
        <w:spacing w:after="9"/>
        <w:jc w:val="both"/>
        <w:rPr>
          <w:rFonts w:asciiTheme="majorHAnsi" w:hAnsiTheme="majorHAnsi" w:cstheme="majorHAnsi"/>
          <w:color w:val="000000" w:themeColor="text1"/>
          <w:lang w:val="es-PR"/>
        </w:rPr>
      </w:pPr>
    </w:p>
    <w:p w14:paraId="4760770D" w14:textId="41D585A7" w:rsidR="002C0E6B" w:rsidRPr="00BB36A5" w:rsidRDefault="00C64BC5"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Por otro lado, la </w:t>
      </w:r>
      <w:r w:rsidRPr="00BB36A5">
        <w:rPr>
          <w:rFonts w:asciiTheme="majorHAnsi" w:hAnsiTheme="majorHAnsi" w:cstheme="majorHAnsi"/>
          <w:b/>
          <w:bCs/>
          <w:color w:val="000000" w:themeColor="text1"/>
          <w:lang w:val="es-PR"/>
        </w:rPr>
        <w:t>Unidad de Contratos del DEPR</w:t>
      </w:r>
      <w:r w:rsidRPr="00BB36A5">
        <w:rPr>
          <w:rFonts w:asciiTheme="majorHAnsi" w:hAnsiTheme="majorHAnsi" w:cstheme="majorHAnsi"/>
          <w:color w:val="000000" w:themeColor="text1"/>
          <w:lang w:val="es-PR"/>
        </w:rPr>
        <w:t xml:space="preserve"> conserva en formato electrónico documentación de relevancia e importante, incluyendo la documentación del proceso previo a la adjudicación de los fondos. Esta Unidad recopila y conserva la siguiente documentación: formularios de solicitud de Servicios Profesionales, el proceso </w:t>
      </w:r>
      <w:r w:rsidR="006843BC" w:rsidRPr="00BB36A5">
        <w:rPr>
          <w:rFonts w:asciiTheme="majorHAnsi" w:hAnsiTheme="majorHAnsi" w:cstheme="majorHAnsi"/>
          <w:color w:val="000000" w:themeColor="text1"/>
          <w:lang w:val="es-PR"/>
        </w:rPr>
        <w:t xml:space="preserve">de compra o contratación que fue </w:t>
      </w:r>
      <w:r w:rsidRPr="00BB36A5">
        <w:rPr>
          <w:rFonts w:asciiTheme="majorHAnsi" w:hAnsiTheme="majorHAnsi" w:cstheme="majorHAnsi"/>
          <w:color w:val="000000" w:themeColor="text1"/>
          <w:lang w:val="es-PR"/>
        </w:rPr>
        <w:t>realizado y los contratos finalizados con sus respectivas firmas y autorizaciones requeridas. Además, se está trabajando en la creación de un espacio dentro de la nube de</w:t>
      </w:r>
      <w:r w:rsidR="008061B5"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DE</w:t>
      </w:r>
      <w:r w:rsidR="008061B5"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para almacenar toda la información </w:t>
      </w:r>
      <w:r w:rsidR="008061B5" w:rsidRPr="00BB36A5">
        <w:rPr>
          <w:rFonts w:asciiTheme="majorHAnsi" w:hAnsiTheme="majorHAnsi" w:cstheme="majorHAnsi"/>
          <w:color w:val="000000" w:themeColor="text1"/>
          <w:lang w:val="es-PR"/>
        </w:rPr>
        <w:t>relevante</w:t>
      </w:r>
      <w:r w:rsidRPr="00BB36A5">
        <w:rPr>
          <w:rFonts w:asciiTheme="majorHAnsi" w:hAnsiTheme="majorHAnsi" w:cstheme="majorHAnsi"/>
          <w:color w:val="000000" w:themeColor="text1"/>
          <w:lang w:val="es-PR"/>
        </w:rPr>
        <w:t xml:space="preserve"> y </w:t>
      </w:r>
      <w:r w:rsidR="008061B5" w:rsidRPr="00BB36A5">
        <w:rPr>
          <w:rFonts w:asciiTheme="majorHAnsi" w:hAnsiTheme="majorHAnsi" w:cstheme="majorHAnsi"/>
          <w:color w:val="000000" w:themeColor="text1"/>
          <w:lang w:val="es-PR"/>
        </w:rPr>
        <w:t xml:space="preserve">los </w:t>
      </w:r>
      <w:r w:rsidRPr="00BB36A5">
        <w:rPr>
          <w:rFonts w:asciiTheme="majorHAnsi" w:hAnsiTheme="majorHAnsi" w:cstheme="majorHAnsi"/>
          <w:color w:val="000000" w:themeColor="text1"/>
          <w:lang w:val="es-PR"/>
        </w:rPr>
        <w:t xml:space="preserve">documentos relacionados con la implementación de este programa federal para </w:t>
      </w:r>
      <w:r w:rsidR="008061B5" w:rsidRPr="00BB36A5">
        <w:rPr>
          <w:rFonts w:asciiTheme="majorHAnsi" w:hAnsiTheme="majorHAnsi" w:cstheme="majorHAnsi"/>
          <w:color w:val="000000" w:themeColor="text1"/>
          <w:lang w:val="es-PR"/>
        </w:rPr>
        <w:t>poder tener un fácil acceso y</w:t>
      </w:r>
      <w:r w:rsidRPr="00BB36A5">
        <w:rPr>
          <w:rFonts w:asciiTheme="majorHAnsi" w:hAnsiTheme="majorHAnsi" w:cstheme="majorHAnsi"/>
          <w:color w:val="000000" w:themeColor="text1"/>
          <w:lang w:val="es-PR"/>
        </w:rPr>
        <w:t xml:space="preserve"> disponib</w:t>
      </w:r>
      <w:r w:rsidR="008061B5" w:rsidRPr="00BB36A5">
        <w:rPr>
          <w:rFonts w:asciiTheme="majorHAnsi" w:hAnsiTheme="majorHAnsi" w:cstheme="majorHAnsi"/>
          <w:color w:val="000000" w:themeColor="text1"/>
          <w:lang w:val="es-PR"/>
        </w:rPr>
        <w:t>ilidad</w:t>
      </w:r>
      <w:r w:rsidRPr="00BB36A5">
        <w:rPr>
          <w:rFonts w:asciiTheme="majorHAnsi" w:hAnsiTheme="majorHAnsi" w:cstheme="majorHAnsi"/>
          <w:color w:val="000000" w:themeColor="text1"/>
          <w:lang w:val="es-PR"/>
        </w:rPr>
        <w:t xml:space="preserve"> para cualquier auditor y / o monitor.</w:t>
      </w:r>
    </w:p>
    <w:p w14:paraId="2FBFB43E" w14:textId="77777777" w:rsidR="00C64BC5" w:rsidRPr="00BB36A5" w:rsidRDefault="00C64BC5" w:rsidP="002C0E6B">
      <w:pPr>
        <w:pStyle w:val="Default"/>
        <w:spacing w:after="9"/>
        <w:jc w:val="both"/>
        <w:rPr>
          <w:rFonts w:asciiTheme="majorHAnsi" w:hAnsiTheme="majorHAnsi" w:cstheme="majorHAnsi"/>
          <w:color w:val="000000" w:themeColor="text1"/>
          <w:lang w:val="es-PR"/>
        </w:rPr>
      </w:pPr>
    </w:p>
    <w:p w14:paraId="2B6EC77D" w14:textId="77777777" w:rsidR="002C0E6B" w:rsidRPr="00BB36A5" w:rsidRDefault="002C0E6B" w:rsidP="002C0E6B">
      <w:pPr>
        <w:pStyle w:val="Default"/>
        <w:spacing w:after="9"/>
        <w:jc w:val="both"/>
        <w:rPr>
          <w:rFonts w:asciiTheme="majorHAnsi" w:hAnsiTheme="majorHAnsi" w:cstheme="majorHAnsi"/>
          <w:color w:val="000000" w:themeColor="text1"/>
          <w:lang w:val="es-PR"/>
        </w:rPr>
      </w:pPr>
    </w:p>
    <w:p w14:paraId="53E7D3F6" w14:textId="66E45897" w:rsidR="002C0E6B" w:rsidRPr="00BB36A5" w:rsidRDefault="00472D03" w:rsidP="002C0E6B">
      <w:pPr>
        <w:pStyle w:val="Heading4"/>
        <w:rPr>
          <w:rFonts w:cstheme="majorHAnsi"/>
          <w:i w:val="0"/>
          <w:iCs w:val="0"/>
          <w:lang w:val="es-PR"/>
        </w:rPr>
      </w:pPr>
      <w:r w:rsidRPr="00BB36A5">
        <w:rPr>
          <w:rFonts w:cstheme="majorHAnsi"/>
          <w:i w:val="0"/>
          <w:iCs w:val="0"/>
          <w:lang w:val="es-PR"/>
        </w:rPr>
        <w:t>Escuelas del</w:t>
      </w:r>
      <w:r w:rsidR="00801DCC" w:rsidRPr="00BB36A5">
        <w:rPr>
          <w:rFonts w:cstheme="majorHAnsi"/>
          <w:i w:val="0"/>
          <w:iCs w:val="0"/>
          <w:lang w:val="es-PR"/>
        </w:rPr>
        <w:t xml:space="preserve"> </w:t>
      </w:r>
      <w:r w:rsidRPr="00BB36A5">
        <w:rPr>
          <w:rFonts w:cstheme="majorHAnsi"/>
          <w:i w:val="0"/>
          <w:iCs w:val="0"/>
          <w:lang w:val="es-PR"/>
        </w:rPr>
        <w:t xml:space="preserve">Sistema </w:t>
      </w:r>
      <w:bookmarkStart w:id="1" w:name="_Hlk62644521"/>
      <w:r w:rsidR="0076105A" w:rsidRPr="00BB36A5">
        <w:rPr>
          <w:rFonts w:cstheme="majorHAnsi"/>
          <w:i w:val="0"/>
          <w:iCs w:val="0"/>
          <w:lang w:val="es-PR"/>
        </w:rPr>
        <w:t>Público</w:t>
      </w:r>
    </w:p>
    <w:bookmarkEnd w:id="1"/>
    <w:p w14:paraId="5BF32F24" w14:textId="324998F7" w:rsidR="00140C36" w:rsidRPr="00BB36A5" w:rsidRDefault="00140C36"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Como se ha mencionado, para las escuelas públicas las compras se realizan de forma centralizada, excepto para las iniciativas </w:t>
      </w:r>
      <w:proofErr w:type="gramStart"/>
      <w:r w:rsidRPr="00BB36A5">
        <w:rPr>
          <w:rFonts w:asciiTheme="majorHAnsi" w:hAnsiTheme="majorHAnsi" w:cstheme="majorHAnsi"/>
          <w:color w:val="000000" w:themeColor="text1"/>
          <w:lang w:val="es-PR"/>
        </w:rPr>
        <w:t xml:space="preserve">del  </w:t>
      </w:r>
      <w:proofErr w:type="spellStart"/>
      <w:r w:rsidRPr="00BB36A5">
        <w:rPr>
          <w:rFonts w:asciiTheme="majorHAnsi" w:hAnsiTheme="majorHAnsi" w:cstheme="majorHAnsi"/>
          <w:i/>
          <w:iCs/>
          <w:color w:val="000000" w:themeColor="text1"/>
          <w:lang w:val="es-PR"/>
        </w:rPr>
        <w:t>Restart</w:t>
      </w:r>
      <w:proofErr w:type="spellEnd"/>
      <w:proofErr w:type="gramEnd"/>
      <w:r w:rsidR="006843BC" w:rsidRPr="00BB36A5">
        <w:rPr>
          <w:rFonts w:asciiTheme="majorHAnsi" w:hAnsiTheme="majorHAnsi" w:cstheme="majorHAnsi"/>
          <w:i/>
          <w:iCs/>
          <w:color w:val="000000" w:themeColor="text1"/>
          <w:lang w:val="es-PR"/>
        </w:rPr>
        <w:t xml:space="preserve"> </w:t>
      </w:r>
      <w:proofErr w:type="spellStart"/>
      <w:r w:rsidR="006843BC" w:rsidRPr="00BB36A5">
        <w:rPr>
          <w:rFonts w:asciiTheme="majorHAnsi" w:hAnsiTheme="majorHAnsi" w:cstheme="majorHAnsi"/>
          <w:i/>
          <w:iCs/>
          <w:color w:val="000000" w:themeColor="text1"/>
          <w:lang w:val="es-PR"/>
        </w:rPr>
        <w:t>School</w:t>
      </w:r>
      <w:proofErr w:type="spellEnd"/>
      <w:r w:rsidR="006843BC" w:rsidRPr="00BB36A5">
        <w:rPr>
          <w:rFonts w:asciiTheme="majorHAnsi" w:hAnsiTheme="majorHAnsi" w:cstheme="majorHAnsi"/>
          <w:i/>
          <w:iCs/>
          <w:color w:val="000000" w:themeColor="text1"/>
          <w:lang w:val="es-PR"/>
        </w:rPr>
        <w:t xml:space="preserve"> Plan</w:t>
      </w:r>
      <w:r w:rsidRPr="00BB36A5">
        <w:rPr>
          <w:rFonts w:asciiTheme="majorHAnsi" w:hAnsiTheme="majorHAnsi" w:cstheme="majorHAnsi"/>
          <w:color w:val="000000" w:themeColor="text1"/>
          <w:lang w:val="es-PR"/>
        </w:rPr>
        <w:t xml:space="preserve">, </w:t>
      </w:r>
      <w:r w:rsidRPr="00BB36A5">
        <w:rPr>
          <w:rFonts w:asciiTheme="majorHAnsi" w:hAnsiTheme="majorHAnsi" w:cstheme="majorHAnsi"/>
          <w:i/>
          <w:iCs/>
          <w:color w:val="000000" w:themeColor="text1"/>
          <w:lang w:val="es-PR"/>
        </w:rPr>
        <w:t>Back2School</w:t>
      </w:r>
      <w:r w:rsidRPr="00BB36A5">
        <w:rPr>
          <w:rFonts w:asciiTheme="majorHAnsi" w:hAnsiTheme="majorHAnsi" w:cstheme="majorHAnsi"/>
          <w:color w:val="000000" w:themeColor="text1"/>
          <w:lang w:val="es-PR"/>
        </w:rPr>
        <w:t xml:space="preserve"> e Iniciativas </w:t>
      </w:r>
      <w:r w:rsidR="006843BC" w:rsidRPr="00BB36A5">
        <w:rPr>
          <w:rFonts w:asciiTheme="majorHAnsi" w:hAnsiTheme="majorHAnsi" w:cstheme="majorHAnsi"/>
          <w:color w:val="000000" w:themeColor="text1"/>
          <w:lang w:val="es-PR"/>
        </w:rPr>
        <w:t>de los</w:t>
      </w:r>
      <w:r w:rsidRPr="00BB36A5">
        <w:rPr>
          <w:rFonts w:asciiTheme="majorHAnsi" w:hAnsiTheme="majorHAnsi" w:cstheme="majorHAnsi"/>
          <w:color w:val="000000" w:themeColor="text1"/>
          <w:lang w:val="es-PR"/>
        </w:rPr>
        <w:t xml:space="preserve"> Sal</w:t>
      </w:r>
      <w:r w:rsidR="006843BC" w:rsidRPr="00BB36A5">
        <w:rPr>
          <w:rFonts w:asciiTheme="majorHAnsi" w:hAnsiTheme="majorHAnsi" w:cstheme="majorHAnsi"/>
          <w:color w:val="000000" w:themeColor="text1"/>
          <w:lang w:val="es-PR"/>
        </w:rPr>
        <w:t>ones</w:t>
      </w:r>
      <w:r w:rsidRPr="00BB36A5">
        <w:rPr>
          <w:rFonts w:asciiTheme="majorHAnsi" w:hAnsiTheme="majorHAnsi" w:cstheme="majorHAnsi"/>
          <w:color w:val="000000" w:themeColor="text1"/>
          <w:lang w:val="es-PR"/>
        </w:rPr>
        <w:t xml:space="preserve"> </w:t>
      </w:r>
      <w:r w:rsidR="006843BC" w:rsidRPr="00BB36A5">
        <w:rPr>
          <w:rFonts w:asciiTheme="majorHAnsi" w:hAnsiTheme="majorHAnsi" w:cstheme="majorHAnsi"/>
          <w:color w:val="000000" w:themeColor="text1"/>
          <w:lang w:val="es-PR"/>
        </w:rPr>
        <w:t xml:space="preserve">de </w:t>
      </w:r>
      <w:r w:rsidRPr="00BB36A5">
        <w:rPr>
          <w:rFonts w:asciiTheme="majorHAnsi" w:hAnsiTheme="majorHAnsi" w:cstheme="majorHAnsi"/>
          <w:color w:val="000000" w:themeColor="text1"/>
          <w:lang w:val="es-PR"/>
        </w:rPr>
        <w:t xml:space="preserve">Clase de Educación Especial. Para estas iniciativas, </w:t>
      </w:r>
      <w:r w:rsidR="00190E52" w:rsidRPr="00BB36A5">
        <w:rPr>
          <w:rFonts w:asciiTheme="majorHAnsi" w:hAnsiTheme="majorHAnsi" w:cstheme="majorHAnsi"/>
          <w:color w:val="000000" w:themeColor="text1"/>
          <w:lang w:val="es-PR"/>
        </w:rPr>
        <w:t>el</w:t>
      </w:r>
      <w:r w:rsidRPr="00BB36A5">
        <w:rPr>
          <w:rFonts w:asciiTheme="majorHAnsi" w:hAnsiTheme="majorHAnsi" w:cstheme="majorHAnsi"/>
          <w:color w:val="000000" w:themeColor="text1"/>
          <w:lang w:val="es-PR"/>
        </w:rPr>
        <w:t xml:space="preserve"> director de la</w:t>
      </w:r>
      <w:r w:rsidR="00190E5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escuela presenta </w:t>
      </w:r>
      <w:r w:rsidR="00190E52" w:rsidRPr="00BB36A5">
        <w:rPr>
          <w:rFonts w:asciiTheme="majorHAnsi" w:hAnsiTheme="majorHAnsi" w:cstheme="majorHAnsi"/>
          <w:color w:val="000000" w:themeColor="text1"/>
          <w:lang w:val="es-PR"/>
        </w:rPr>
        <w:t>un estudio</w:t>
      </w:r>
      <w:r w:rsidRPr="00BB36A5">
        <w:rPr>
          <w:rFonts w:asciiTheme="majorHAnsi" w:hAnsiTheme="majorHAnsi" w:cstheme="majorHAnsi"/>
          <w:color w:val="000000" w:themeColor="text1"/>
          <w:lang w:val="es-PR"/>
        </w:rPr>
        <w:t xml:space="preserve"> de la</w:t>
      </w:r>
      <w:r w:rsidR="00190E52"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necesidades y una solicitud de asistencia. </w:t>
      </w:r>
      <w:r w:rsidR="00190E52" w:rsidRPr="00BB36A5">
        <w:rPr>
          <w:rFonts w:asciiTheme="majorHAnsi" w:hAnsiTheme="majorHAnsi" w:cstheme="majorHAnsi"/>
          <w:color w:val="000000" w:themeColor="text1"/>
          <w:lang w:val="es-PR"/>
        </w:rPr>
        <w:t xml:space="preserve">Para la </w:t>
      </w:r>
      <w:r w:rsidRPr="00BB36A5">
        <w:rPr>
          <w:rFonts w:asciiTheme="majorHAnsi" w:hAnsiTheme="majorHAnsi" w:cstheme="majorHAnsi"/>
          <w:color w:val="000000" w:themeColor="text1"/>
          <w:lang w:val="es-PR"/>
        </w:rPr>
        <w:t>contin</w:t>
      </w:r>
      <w:r w:rsidR="00190E52" w:rsidRPr="00BB36A5">
        <w:rPr>
          <w:rFonts w:asciiTheme="majorHAnsi" w:hAnsiTheme="majorHAnsi" w:cstheme="majorHAnsi"/>
          <w:color w:val="000000" w:themeColor="text1"/>
          <w:lang w:val="es-PR"/>
        </w:rPr>
        <w:t>uidad</w:t>
      </w:r>
      <w:r w:rsidRPr="00BB36A5">
        <w:rPr>
          <w:rFonts w:asciiTheme="majorHAnsi" w:hAnsiTheme="majorHAnsi" w:cstheme="majorHAnsi"/>
          <w:color w:val="000000" w:themeColor="text1"/>
          <w:lang w:val="es-PR"/>
        </w:rPr>
        <w:t xml:space="preserve"> del </w:t>
      </w:r>
      <w:r w:rsidR="006843BC"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w:t>
      </w:r>
      <w:proofErr w:type="spellStart"/>
      <w:r w:rsidR="00190E52"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las escuelas deben demostrar que los bienes y/o servicios solicitados son el resultado de</w:t>
      </w:r>
      <w:r w:rsidR="00190E52" w:rsidRPr="00BB36A5">
        <w:rPr>
          <w:rFonts w:asciiTheme="majorHAnsi" w:hAnsiTheme="majorHAnsi" w:cstheme="majorHAnsi"/>
          <w:color w:val="000000" w:themeColor="text1"/>
          <w:lang w:val="es-PR"/>
        </w:rPr>
        <w:t xml:space="preserve"> un</w:t>
      </w:r>
      <w:r w:rsidRPr="00BB36A5">
        <w:rPr>
          <w:rFonts w:asciiTheme="majorHAnsi" w:hAnsiTheme="majorHAnsi" w:cstheme="majorHAnsi"/>
          <w:color w:val="000000" w:themeColor="text1"/>
          <w:lang w:val="es-PR"/>
        </w:rPr>
        <w:t xml:space="preserve"> desastre y justificar que es una actividad permitida. </w:t>
      </w:r>
      <w:r w:rsidR="00190E52" w:rsidRPr="00BB36A5">
        <w:rPr>
          <w:rFonts w:asciiTheme="majorHAnsi" w:hAnsiTheme="majorHAnsi" w:cstheme="majorHAnsi"/>
          <w:color w:val="000000" w:themeColor="text1"/>
          <w:lang w:val="es-PR"/>
        </w:rPr>
        <w:t>La SAAF</w:t>
      </w:r>
      <w:r w:rsidRPr="00BB36A5">
        <w:rPr>
          <w:rFonts w:asciiTheme="majorHAnsi" w:hAnsiTheme="majorHAnsi" w:cstheme="majorHAnsi"/>
          <w:color w:val="000000" w:themeColor="text1"/>
          <w:lang w:val="es-PR"/>
        </w:rPr>
        <w:t xml:space="preserve"> evalúa </w:t>
      </w:r>
      <w:r w:rsidR="00190E52" w:rsidRPr="00BB36A5">
        <w:rPr>
          <w:rFonts w:asciiTheme="majorHAnsi" w:hAnsiTheme="majorHAnsi" w:cstheme="majorHAnsi"/>
          <w:color w:val="000000" w:themeColor="text1"/>
          <w:lang w:val="es-PR"/>
        </w:rPr>
        <w:t>el estudio</w:t>
      </w:r>
      <w:r w:rsidRPr="00BB36A5">
        <w:rPr>
          <w:rFonts w:asciiTheme="majorHAnsi" w:hAnsiTheme="majorHAnsi" w:cstheme="majorHAnsi"/>
          <w:color w:val="000000" w:themeColor="text1"/>
          <w:lang w:val="es-PR"/>
        </w:rPr>
        <w:t xml:space="preserve"> de </w:t>
      </w:r>
      <w:r w:rsidR="001C009C" w:rsidRPr="00BB36A5">
        <w:rPr>
          <w:rFonts w:asciiTheme="majorHAnsi" w:hAnsiTheme="majorHAnsi" w:cstheme="majorHAnsi"/>
          <w:color w:val="000000" w:themeColor="text1"/>
          <w:lang w:val="es-PR"/>
        </w:rPr>
        <w:t xml:space="preserve">las </w:t>
      </w:r>
      <w:r w:rsidRPr="00BB36A5">
        <w:rPr>
          <w:rFonts w:asciiTheme="majorHAnsi" w:hAnsiTheme="majorHAnsi" w:cstheme="majorHAnsi"/>
          <w:color w:val="000000" w:themeColor="text1"/>
          <w:lang w:val="es-PR"/>
        </w:rPr>
        <w:t xml:space="preserve">necesidades y la solicitud de asistencia. </w:t>
      </w:r>
      <w:r w:rsidR="001C009C" w:rsidRPr="00BB36A5">
        <w:rPr>
          <w:rFonts w:asciiTheme="majorHAnsi" w:hAnsiTheme="majorHAnsi" w:cstheme="majorHAnsi"/>
          <w:color w:val="000000" w:themeColor="text1"/>
          <w:lang w:val="es-PR"/>
        </w:rPr>
        <w:t xml:space="preserve">De ser </w:t>
      </w:r>
      <w:r w:rsidRPr="00BB36A5">
        <w:rPr>
          <w:rFonts w:asciiTheme="majorHAnsi" w:hAnsiTheme="majorHAnsi" w:cstheme="majorHAnsi"/>
          <w:color w:val="000000" w:themeColor="text1"/>
          <w:lang w:val="es-PR"/>
        </w:rPr>
        <w:t xml:space="preserve">necesario, </w:t>
      </w:r>
      <w:r w:rsidR="001C009C" w:rsidRPr="00BB36A5">
        <w:rPr>
          <w:rFonts w:asciiTheme="majorHAnsi" w:hAnsiTheme="majorHAnsi" w:cstheme="majorHAnsi"/>
          <w:color w:val="000000" w:themeColor="text1"/>
          <w:lang w:val="es-PR"/>
        </w:rPr>
        <w:t>la SAAF</w:t>
      </w:r>
      <w:r w:rsidRPr="00BB36A5">
        <w:rPr>
          <w:rFonts w:asciiTheme="majorHAnsi" w:hAnsiTheme="majorHAnsi" w:cstheme="majorHAnsi"/>
          <w:color w:val="000000" w:themeColor="text1"/>
          <w:lang w:val="es-PR"/>
        </w:rPr>
        <w:t xml:space="preserve"> se comunicará con el USDE </w:t>
      </w:r>
      <w:r w:rsidR="001C009C" w:rsidRPr="00BB36A5">
        <w:rPr>
          <w:rFonts w:asciiTheme="majorHAnsi" w:hAnsiTheme="majorHAnsi" w:cstheme="majorHAnsi"/>
          <w:color w:val="000000" w:themeColor="text1"/>
          <w:lang w:val="es-PR"/>
        </w:rPr>
        <w:t>para aclarar</w:t>
      </w:r>
      <w:r w:rsidRPr="00BB36A5">
        <w:rPr>
          <w:rFonts w:asciiTheme="majorHAnsi" w:hAnsiTheme="majorHAnsi" w:cstheme="majorHAnsi"/>
          <w:color w:val="000000" w:themeColor="text1"/>
          <w:lang w:val="es-PR"/>
        </w:rPr>
        <w:t xml:space="preserve"> cualquier </w:t>
      </w:r>
      <w:r w:rsidR="001C009C" w:rsidRPr="00BB36A5">
        <w:rPr>
          <w:rFonts w:asciiTheme="majorHAnsi" w:hAnsiTheme="majorHAnsi" w:cstheme="majorHAnsi"/>
          <w:color w:val="000000" w:themeColor="text1"/>
          <w:lang w:val="es-PR"/>
        </w:rPr>
        <w:t xml:space="preserve">duda o </w:t>
      </w:r>
      <w:r w:rsidRPr="00BB36A5">
        <w:rPr>
          <w:rFonts w:asciiTheme="majorHAnsi" w:hAnsiTheme="majorHAnsi" w:cstheme="majorHAnsi"/>
          <w:color w:val="000000" w:themeColor="text1"/>
          <w:lang w:val="es-PR"/>
        </w:rPr>
        <w:t>pregunta. Si se aprueban los artículos solicitados, entonces:</w:t>
      </w:r>
    </w:p>
    <w:p w14:paraId="5217090E" w14:textId="77777777" w:rsidR="002C0E6B" w:rsidRPr="00BB36A5" w:rsidRDefault="002C0E6B" w:rsidP="002C0E6B">
      <w:pPr>
        <w:pStyle w:val="Default"/>
        <w:spacing w:after="9"/>
        <w:jc w:val="both"/>
        <w:rPr>
          <w:rFonts w:asciiTheme="majorHAnsi" w:hAnsiTheme="majorHAnsi" w:cstheme="majorHAnsi"/>
          <w:color w:val="000000" w:themeColor="text1"/>
        </w:rPr>
      </w:pPr>
    </w:p>
    <w:p w14:paraId="58C33BAC" w14:textId="1183A743" w:rsidR="002C0E6B" w:rsidRPr="00BB36A5" w:rsidRDefault="001C009C" w:rsidP="00342E9E">
      <w:pPr>
        <w:pStyle w:val="Default"/>
        <w:numPr>
          <w:ilvl w:val="0"/>
          <w:numId w:val="10"/>
        </w:numPr>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Para materiales</w:t>
      </w:r>
      <w:r w:rsidR="002C0E6B"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las regiones harán la compra</w:t>
      </w:r>
      <w:r w:rsidR="002C0E6B" w:rsidRPr="00BB36A5">
        <w:rPr>
          <w:rFonts w:asciiTheme="majorHAnsi" w:hAnsiTheme="majorHAnsi" w:cstheme="majorHAnsi"/>
          <w:color w:val="auto"/>
          <w:lang w:val="es-PR"/>
        </w:rPr>
        <w:t>.</w:t>
      </w:r>
    </w:p>
    <w:p w14:paraId="6D921B59" w14:textId="193012F4" w:rsidR="00EF35DD" w:rsidRPr="00BB36A5" w:rsidRDefault="001C009C" w:rsidP="00043380">
      <w:pPr>
        <w:pStyle w:val="Default"/>
        <w:numPr>
          <w:ilvl w:val="0"/>
          <w:numId w:val="10"/>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auto"/>
          <w:lang w:val="es-PR"/>
        </w:rPr>
        <w:t>Para</w:t>
      </w:r>
      <w:r w:rsidR="002C0E6B" w:rsidRPr="00BB36A5">
        <w:rPr>
          <w:rFonts w:asciiTheme="majorHAnsi" w:hAnsiTheme="majorHAnsi" w:cstheme="majorHAnsi"/>
          <w:color w:val="auto"/>
          <w:lang w:val="es-PR"/>
        </w:rPr>
        <w:t xml:space="preserve"> equip</w:t>
      </w:r>
      <w:r w:rsidRPr="00BB36A5">
        <w:rPr>
          <w:rFonts w:asciiTheme="majorHAnsi" w:hAnsiTheme="majorHAnsi" w:cstheme="majorHAnsi"/>
          <w:color w:val="auto"/>
          <w:lang w:val="es-PR"/>
        </w:rPr>
        <w:t>o</w:t>
      </w:r>
      <w:r w:rsidR="002C0E6B"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y otros suministros</w:t>
      </w:r>
      <w:r w:rsidR="002C0E6B"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la compra se hará en Nivel Central por la Oficina de Compras</w:t>
      </w:r>
    </w:p>
    <w:p w14:paraId="0BF91D7E" w14:textId="532AADE1" w:rsidR="002C0E6B" w:rsidRPr="00BB36A5" w:rsidRDefault="00EF35DD" w:rsidP="00043380">
      <w:pPr>
        <w:pStyle w:val="Default"/>
        <w:numPr>
          <w:ilvl w:val="0"/>
          <w:numId w:val="10"/>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auto"/>
          <w:lang w:val="es-PR"/>
        </w:rPr>
        <w:t xml:space="preserve">Para servicios profesionales, </w:t>
      </w:r>
      <w:r w:rsidR="001C009C" w:rsidRPr="00BB36A5">
        <w:rPr>
          <w:rFonts w:asciiTheme="majorHAnsi" w:hAnsiTheme="majorHAnsi" w:cstheme="majorHAnsi"/>
          <w:color w:val="auto"/>
          <w:lang w:val="es-PR"/>
        </w:rPr>
        <w:t>la Unidad de</w:t>
      </w:r>
      <w:r w:rsidR="004C618F" w:rsidRPr="00BB36A5">
        <w:rPr>
          <w:rFonts w:asciiTheme="majorHAnsi" w:hAnsiTheme="majorHAnsi" w:cstheme="majorHAnsi"/>
          <w:color w:val="auto"/>
          <w:lang w:val="es-PR"/>
        </w:rPr>
        <w:t xml:space="preserve"> </w:t>
      </w:r>
      <w:r w:rsidR="001C009C" w:rsidRPr="00BB36A5">
        <w:rPr>
          <w:rFonts w:asciiTheme="majorHAnsi" w:hAnsiTheme="majorHAnsi" w:cstheme="majorHAnsi"/>
          <w:color w:val="auto"/>
          <w:lang w:val="es-PR"/>
        </w:rPr>
        <w:t>Adjudicación de Fondos</w:t>
      </w:r>
      <w:r w:rsidRPr="00BB36A5">
        <w:rPr>
          <w:rFonts w:asciiTheme="majorHAnsi" w:hAnsiTheme="majorHAnsi" w:cstheme="majorHAnsi"/>
          <w:color w:val="auto"/>
          <w:lang w:val="es-PR"/>
        </w:rPr>
        <w:t xml:space="preserve"> llevará a cabo el proceso de </w:t>
      </w:r>
      <w:proofErr w:type="spellStart"/>
      <w:r w:rsidRPr="00BB36A5">
        <w:rPr>
          <w:rFonts w:asciiTheme="majorHAnsi" w:hAnsiTheme="majorHAnsi" w:cstheme="majorHAnsi"/>
          <w:color w:val="auto"/>
          <w:lang w:val="es-PR"/>
        </w:rPr>
        <w:t>procurement</w:t>
      </w:r>
      <w:proofErr w:type="spellEnd"/>
      <w:r w:rsidRPr="00BB36A5">
        <w:rPr>
          <w:rFonts w:asciiTheme="majorHAnsi" w:hAnsiTheme="majorHAnsi" w:cstheme="majorHAnsi"/>
          <w:color w:val="auto"/>
          <w:lang w:val="es-PR"/>
        </w:rPr>
        <w:t xml:space="preserve"> y la Unidad de Contratos de SAAF o de División Legal trabajará y tramitará los contratos</w:t>
      </w:r>
    </w:p>
    <w:p w14:paraId="55959785" w14:textId="66E2B8BC" w:rsidR="001C009C" w:rsidRPr="00BB36A5" w:rsidRDefault="001C009C" w:rsidP="001C009C">
      <w:pPr>
        <w:pStyle w:val="Default"/>
        <w:spacing w:after="9"/>
        <w:ind w:left="768"/>
        <w:jc w:val="both"/>
        <w:rPr>
          <w:rFonts w:asciiTheme="majorHAnsi" w:hAnsiTheme="majorHAnsi" w:cstheme="majorHAnsi"/>
          <w:color w:val="auto"/>
          <w:lang w:val="es-PR"/>
        </w:rPr>
      </w:pPr>
    </w:p>
    <w:p w14:paraId="22D5E1F6" w14:textId="77777777" w:rsidR="001C009C" w:rsidRPr="00BB36A5" w:rsidRDefault="001C009C" w:rsidP="001C009C">
      <w:pPr>
        <w:pStyle w:val="Default"/>
        <w:spacing w:after="9"/>
        <w:ind w:left="768"/>
        <w:jc w:val="both"/>
        <w:rPr>
          <w:rFonts w:asciiTheme="majorHAnsi" w:hAnsiTheme="majorHAnsi" w:cstheme="majorHAnsi"/>
          <w:color w:val="000000" w:themeColor="text1"/>
          <w:lang w:val="es-PR"/>
        </w:rPr>
      </w:pPr>
    </w:p>
    <w:p w14:paraId="6EED255D" w14:textId="71A70529" w:rsidR="002C0E6B" w:rsidRPr="00BB36A5" w:rsidRDefault="00472D03" w:rsidP="002C0E6B">
      <w:pPr>
        <w:pStyle w:val="Heading4"/>
        <w:rPr>
          <w:rFonts w:cstheme="majorHAnsi"/>
          <w:i w:val="0"/>
          <w:iCs w:val="0"/>
          <w:lang w:val="es-PR"/>
        </w:rPr>
      </w:pPr>
      <w:r w:rsidRPr="00BB36A5">
        <w:rPr>
          <w:rFonts w:cstheme="majorHAnsi"/>
          <w:i w:val="0"/>
          <w:iCs w:val="0"/>
          <w:lang w:val="es-PR"/>
        </w:rPr>
        <w:t>Escuelas</w:t>
      </w:r>
      <w:r w:rsidR="00801DCC" w:rsidRPr="00BB36A5">
        <w:rPr>
          <w:rFonts w:cstheme="majorHAnsi"/>
          <w:i w:val="0"/>
          <w:iCs w:val="0"/>
          <w:lang w:val="es-PR"/>
        </w:rPr>
        <w:t xml:space="preserve"> </w:t>
      </w:r>
      <w:r w:rsidR="0076105A" w:rsidRPr="00BB36A5">
        <w:rPr>
          <w:rFonts w:cstheme="majorHAnsi"/>
          <w:i w:val="0"/>
          <w:iCs w:val="0"/>
          <w:lang w:val="es-PR"/>
        </w:rPr>
        <w:t>Privadas – Sistema No Público</w:t>
      </w:r>
    </w:p>
    <w:p w14:paraId="4C54C541" w14:textId="275D6F26" w:rsidR="005F4697" w:rsidRPr="00BB36A5" w:rsidRDefault="005F4697" w:rsidP="002C0E6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En el caso de las escuelas privadas, estas presentan sus solicitudes y requisiciones de acuerdo a su estudio de las necesidades a la División de Servicios Equitativos (DSE). La DSE es responsable de evaluar las solicitudes y tomar una determinación sobre si aprobarla o no. De ser necesario, el DEPR se </w:t>
      </w:r>
      <w:r w:rsidR="00B35D9B" w:rsidRPr="00BB36A5">
        <w:rPr>
          <w:rFonts w:asciiTheme="majorHAnsi" w:hAnsiTheme="majorHAnsi" w:cstheme="majorHAnsi"/>
          <w:color w:val="000000" w:themeColor="text1"/>
          <w:lang w:val="es-PR"/>
        </w:rPr>
        <w:t>comunicará</w:t>
      </w:r>
      <w:r w:rsidRPr="00BB36A5">
        <w:rPr>
          <w:rFonts w:asciiTheme="majorHAnsi" w:hAnsiTheme="majorHAnsi" w:cstheme="majorHAnsi"/>
          <w:color w:val="000000" w:themeColor="text1"/>
          <w:lang w:val="es-PR"/>
        </w:rPr>
        <w:t xml:space="preserve"> con el USDE para obtener asistencia técnica con el fin de asegurarse de que las determinaciones sean las correctas. Las compras de las escuelas privadas serán realizadas por la Oficina de Compras en Nivel Central siguiendo todas las regulaciones del DE</w:t>
      </w:r>
      <w:r w:rsidR="00217EC6"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w:t>
      </w:r>
    </w:p>
    <w:p w14:paraId="0C768A2F" w14:textId="77777777" w:rsidR="005F4697" w:rsidRPr="00BB36A5" w:rsidRDefault="005F4697" w:rsidP="002C0E6B">
      <w:pPr>
        <w:pStyle w:val="Default"/>
        <w:spacing w:after="9"/>
        <w:jc w:val="both"/>
        <w:rPr>
          <w:rFonts w:asciiTheme="majorHAnsi" w:hAnsiTheme="majorHAnsi" w:cstheme="majorHAnsi"/>
          <w:color w:val="000000" w:themeColor="text1"/>
          <w:lang w:val="es-PR"/>
        </w:rPr>
      </w:pPr>
    </w:p>
    <w:p w14:paraId="5033F0F3" w14:textId="77777777" w:rsidR="002C0E6B" w:rsidRPr="00BB36A5" w:rsidRDefault="002C0E6B" w:rsidP="00F54322">
      <w:pPr>
        <w:pStyle w:val="Default"/>
        <w:spacing w:after="9"/>
        <w:jc w:val="both"/>
        <w:rPr>
          <w:rFonts w:asciiTheme="majorHAnsi" w:hAnsiTheme="majorHAnsi" w:cstheme="majorHAnsi"/>
          <w:color w:val="FF0000"/>
          <w:lang w:val="es-PR"/>
        </w:rPr>
      </w:pPr>
    </w:p>
    <w:p w14:paraId="77A83840" w14:textId="7F6A28A4" w:rsidR="00F54322" w:rsidRPr="00BB36A5" w:rsidRDefault="00D35AEE" w:rsidP="004A1115">
      <w:pPr>
        <w:pStyle w:val="Heading2"/>
        <w:rPr>
          <w:rFonts w:cstheme="majorHAnsi"/>
          <w:sz w:val="24"/>
          <w:szCs w:val="24"/>
          <w:lang w:val="es-PR"/>
        </w:rPr>
      </w:pPr>
      <w:r w:rsidRPr="00BB36A5">
        <w:rPr>
          <w:rFonts w:cstheme="majorHAnsi"/>
          <w:sz w:val="24"/>
          <w:szCs w:val="24"/>
          <w:lang w:val="es-PR"/>
        </w:rPr>
        <w:t>INFORMA</w:t>
      </w:r>
      <w:r w:rsidR="00472D03" w:rsidRPr="00BB36A5">
        <w:rPr>
          <w:rFonts w:cstheme="majorHAnsi"/>
          <w:sz w:val="24"/>
          <w:szCs w:val="24"/>
          <w:lang w:val="es-PR"/>
        </w:rPr>
        <w:t>CION Y</w:t>
      </w:r>
      <w:r w:rsidRPr="00BB36A5">
        <w:rPr>
          <w:rFonts w:cstheme="majorHAnsi"/>
          <w:sz w:val="24"/>
          <w:szCs w:val="24"/>
          <w:lang w:val="es-PR"/>
        </w:rPr>
        <w:t xml:space="preserve"> COMUNICA</w:t>
      </w:r>
      <w:r w:rsidR="00472D03" w:rsidRPr="00BB36A5">
        <w:rPr>
          <w:rFonts w:cstheme="majorHAnsi"/>
          <w:sz w:val="24"/>
          <w:szCs w:val="24"/>
          <w:lang w:val="es-PR"/>
        </w:rPr>
        <w:t>C</w:t>
      </w:r>
      <w:r w:rsidRPr="00BB36A5">
        <w:rPr>
          <w:rFonts w:cstheme="majorHAnsi"/>
          <w:sz w:val="24"/>
          <w:szCs w:val="24"/>
          <w:lang w:val="es-PR"/>
        </w:rPr>
        <w:t>ION</w:t>
      </w:r>
    </w:p>
    <w:p w14:paraId="6E77AF82" w14:textId="09AAFE5E" w:rsidR="00C57D60" w:rsidRPr="00BB36A5" w:rsidRDefault="00C57D60" w:rsidP="005E580E">
      <w:pPr>
        <w:jc w:val="both"/>
        <w:rPr>
          <w:rFonts w:asciiTheme="majorHAnsi" w:hAnsiTheme="majorHAnsi" w:cstheme="majorHAnsi"/>
          <w:lang w:val="es-PR"/>
        </w:rPr>
      </w:pPr>
      <w:r w:rsidRPr="00BB36A5">
        <w:rPr>
          <w:rFonts w:asciiTheme="majorHAnsi" w:hAnsiTheme="majorHAnsi" w:cstheme="majorHAnsi"/>
          <w:lang w:val="es-PR"/>
        </w:rPr>
        <w:t>Para que un sistema de control interno sea exitoso en toda la organización, el organismo de supervisión y la gerencia deben garantizar que la información se comunique eficazmente a todo el personal.  Las actividades de control interno relacionadas con los estándares de Información y Comunicación incluyen:</w:t>
      </w:r>
    </w:p>
    <w:p w14:paraId="53035B08" w14:textId="77777777" w:rsidR="00F54322" w:rsidRPr="00BB36A5" w:rsidRDefault="00F54322" w:rsidP="00F54322">
      <w:pPr>
        <w:jc w:val="both"/>
        <w:rPr>
          <w:rFonts w:asciiTheme="majorHAnsi" w:hAnsiTheme="majorHAnsi" w:cstheme="majorHAnsi"/>
          <w:lang w:val="es-PR"/>
        </w:rPr>
      </w:pPr>
    </w:p>
    <w:p w14:paraId="42C81E71" w14:textId="01886E39" w:rsidR="00F54322" w:rsidRPr="00BB36A5" w:rsidRDefault="00C57D60" w:rsidP="00342E9E">
      <w:pPr>
        <w:pStyle w:val="ListParagraph"/>
        <w:numPr>
          <w:ilvl w:val="0"/>
          <w:numId w:val="8"/>
        </w:numPr>
        <w:ind w:left="360"/>
        <w:jc w:val="both"/>
        <w:rPr>
          <w:rFonts w:asciiTheme="majorHAnsi" w:hAnsiTheme="majorHAnsi" w:cstheme="majorHAnsi"/>
          <w:lang w:val="es-PR"/>
        </w:rPr>
      </w:pPr>
      <w:r w:rsidRPr="00BB36A5">
        <w:rPr>
          <w:rFonts w:asciiTheme="majorHAnsi" w:hAnsiTheme="majorHAnsi" w:cstheme="majorHAnsi"/>
          <w:lang w:val="es-PR"/>
        </w:rPr>
        <w:t>buscar y recibir retroalimentación o comentarios de otros sobre la utilidad de la información provista (Cuestionarios).</w:t>
      </w:r>
    </w:p>
    <w:p w14:paraId="1244BB68" w14:textId="773240E2" w:rsidR="00F54322" w:rsidRPr="00BB36A5" w:rsidRDefault="00C57D60" w:rsidP="00342E9E">
      <w:pPr>
        <w:pStyle w:val="ListParagraph"/>
        <w:numPr>
          <w:ilvl w:val="0"/>
          <w:numId w:val="9"/>
        </w:numPr>
        <w:ind w:left="360"/>
        <w:jc w:val="both"/>
        <w:rPr>
          <w:rFonts w:asciiTheme="majorHAnsi" w:hAnsiTheme="majorHAnsi" w:cstheme="majorHAnsi"/>
          <w:lang w:val="es-PR"/>
        </w:rPr>
      </w:pPr>
      <w:r w:rsidRPr="00BB36A5">
        <w:rPr>
          <w:rFonts w:asciiTheme="majorHAnsi" w:hAnsiTheme="majorHAnsi" w:cstheme="majorHAnsi"/>
          <w:lang w:val="es-PR"/>
        </w:rPr>
        <w:t>asegurarse de que la información comunicada a otros sea oportuna y precisa (Informes trimestrales y semestrales).</w:t>
      </w:r>
    </w:p>
    <w:p w14:paraId="71D63CE6" w14:textId="650FBA68" w:rsidR="00F54322" w:rsidRPr="00BB36A5" w:rsidRDefault="00C57D60" w:rsidP="00342E9E">
      <w:pPr>
        <w:pStyle w:val="ListParagraph"/>
        <w:numPr>
          <w:ilvl w:val="0"/>
          <w:numId w:val="9"/>
        </w:numPr>
        <w:ind w:left="360"/>
        <w:jc w:val="both"/>
        <w:rPr>
          <w:rFonts w:asciiTheme="majorHAnsi" w:hAnsiTheme="majorHAnsi" w:cstheme="majorHAnsi"/>
          <w:lang w:val="es-PR"/>
        </w:rPr>
      </w:pPr>
      <w:r w:rsidRPr="00BB36A5">
        <w:rPr>
          <w:rFonts w:asciiTheme="majorHAnsi" w:hAnsiTheme="majorHAnsi" w:cstheme="majorHAnsi"/>
          <w:lang w:val="es-PR"/>
        </w:rPr>
        <w:t xml:space="preserve">garantizar que se reciban </w:t>
      </w:r>
      <w:r w:rsidR="00B35D9B" w:rsidRPr="00BB36A5">
        <w:rPr>
          <w:rFonts w:asciiTheme="majorHAnsi" w:hAnsiTheme="majorHAnsi" w:cstheme="majorHAnsi"/>
          <w:lang w:val="es-PR"/>
        </w:rPr>
        <w:t>guías</w:t>
      </w:r>
      <w:r w:rsidRPr="00BB36A5">
        <w:rPr>
          <w:rFonts w:asciiTheme="majorHAnsi" w:hAnsiTheme="majorHAnsi" w:cstheme="majorHAnsi"/>
          <w:lang w:val="es-PR"/>
        </w:rPr>
        <w:t xml:space="preserve"> actualizadas de las </w:t>
      </w:r>
      <w:r w:rsidR="00B35D9B" w:rsidRPr="00BB36A5">
        <w:rPr>
          <w:rFonts w:asciiTheme="majorHAnsi" w:hAnsiTheme="majorHAnsi" w:cstheme="majorHAnsi"/>
          <w:lang w:val="es-PR"/>
        </w:rPr>
        <w:t>agencias centrales de supervisión</w:t>
      </w:r>
      <w:r w:rsidRPr="00BB36A5">
        <w:rPr>
          <w:rFonts w:asciiTheme="majorHAnsi" w:hAnsiTheme="majorHAnsi" w:cstheme="majorHAnsi"/>
          <w:lang w:val="es-PR"/>
        </w:rPr>
        <w:t xml:space="preserve">, seguidos </w:t>
      </w:r>
      <w:r w:rsidR="00B35D9B" w:rsidRPr="00BB36A5">
        <w:rPr>
          <w:rFonts w:asciiTheme="majorHAnsi" w:hAnsiTheme="majorHAnsi" w:cstheme="majorHAnsi"/>
          <w:lang w:val="es-PR"/>
        </w:rPr>
        <w:t xml:space="preserve">por </w:t>
      </w:r>
      <w:r w:rsidRPr="00BB36A5">
        <w:rPr>
          <w:rFonts w:asciiTheme="majorHAnsi" w:hAnsiTheme="majorHAnsi" w:cstheme="majorHAnsi"/>
          <w:lang w:val="es-PR"/>
        </w:rPr>
        <w:t>que la gerencia comunique estos nuevos requisitos al personal. (Informes del USDE-DEPR y llamadas telefónicas.  Autorizaciones previas para modificaciones del Plan)</w:t>
      </w:r>
    </w:p>
    <w:p w14:paraId="42EB45A1" w14:textId="57F17909" w:rsidR="00F54322" w:rsidRPr="00BB36A5" w:rsidRDefault="00C57D60" w:rsidP="00342E9E">
      <w:pPr>
        <w:pStyle w:val="ListParagraph"/>
        <w:numPr>
          <w:ilvl w:val="0"/>
          <w:numId w:val="9"/>
        </w:numPr>
        <w:ind w:left="360"/>
        <w:jc w:val="both"/>
        <w:rPr>
          <w:rFonts w:asciiTheme="majorHAnsi" w:hAnsiTheme="majorHAnsi" w:cstheme="majorHAnsi"/>
          <w:lang w:val="es-PR"/>
        </w:rPr>
      </w:pPr>
      <w:r w:rsidRPr="00BB36A5">
        <w:rPr>
          <w:rFonts w:asciiTheme="majorHAnsi" w:hAnsiTheme="majorHAnsi" w:cstheme="majorHAnsi"/>
          <w:lang w:val="es-PR"/>
        </w:rPr>
        <w:t>el personal del programa debe comunicarse con el personal de los sistemas de información para extra</w:t>
      </w:r>
      <w:r w:rsidR="00E70A8F" w:rsidRPr="00BB36A5">
        <w:rPr>
          <w:rFonts w:asciiTheme="majorHAnsi" w:hAnsiTheme="majorHAnsi" w:cstheme="majorHAnsi"/>
          <w:lang w:val="es-PR"/>
        </w:rPr>
        <w:t>er</w:t>
      </w:r>
      <w:r w:rsidRPr="00BB36A5">
        <w:rPr>
          <w:rFonts w:asciiTheme="majorHAnsi" w:hAnsiTheme="majorHAnsi" w:cstheme="majorHAnsi"/>
          <w:lang w:val="es-PR"/>
        </w:rPr>
        <w:t xml:space="preserve"> los datos necesarios (Autorización previa para recuperar </w:t>
      </w:r>
      <w:r w:rsidR="00E70A8F" w:rsidRPr="00BB36A5">
        <w:rPr>
          <w:rFonts w:asciiTheme="majorHAnsi" w:hAnsiTheme="majorHAnsi" w:cstheme="majorHAnsi"/>
          <w:lang w:val="es-PR"/>
        </w:rPr>
        <w:t xml:space="preserve">la </w:t>
      </w:r>
      <w:r w:rsidRPr="00BB36A5">
        <w:rPr>
          <w:rFonts w:asciiTheme="majorHAnsi" w:hAnsiTheme="majorHAnsi" w:cstheme="majorHAnsi"/>
          <w:lang w:val="es-PR"/>
        </w:rPr>
        <w:t>dat</w:t>
      </w:r>
      <w:r w:rsidR="00E70A8F" w:rsidRPr="00BB36A5">
        <w:rPr>
          <w:rFonts w:asciiTheme="majorHAnsi" w:hAnsiTheme="majorHAnsi" w:cstheme="majorHAnsi"/>
          <w:lang w:val="es-PR"/>
        </w:rPr>
        <w:t>a</w:t>
      </w:r>
      <w:r w:rsidRPr="00BB36A5">
        <w:rPr>
          <w:rFonts w:asciiTheme="majorHAnsi" w:hAnsiTheme="majorHAnsi" w:cstheme="majorHAnsi"/>
          <w:lang w:val="es-PR"/>
        </w:rPr>
        <w:t>).</w:t>
      </w:r>
    </w:p>
    <w:p w14:paraId="56DB17EA" w14:textId="77777777" w:rsidR="00F54322" w:rsidRPr="00BB36A5" w:rsidRDefault="00F54322" w:rsidP="00F54322">
      <w:pPr>
        <w:pStyle w:val="Default"/>
        <w:spacing w:after="9"/>
        <w:jc w:val="both"/>
        <w:rPr>
          <w:rFonts w:asciiTheme="majorHAnsi" w:hAnsiTheme="majorHAnsi" w:cstheme="majorHAnsi"/>
          <w:color w:val="FF0000"/>
          <w:lang w:val="es-PR"/>
        </w:rPr>
      </w:pPr>
    </w:p>
    <w:p w14:paraId="2E315176" w14:textId="13F4A059" w:rsidR="00D35AEE" w:rsidRPr="00BB36A5" w:rsidRDefault="00D35AEE" w:rsidP="00034F0A">
      <w:pPr>
        <w:pStyle w:val="Heading2"/>
        <w:rPr>
          <w:rFonts w:cstheme="majorHAnsi"/>
          <w:sz w:val="24"/>
          <w:szCs w:val="24"/>
          <w:lang w:val="es-PR"/>
        </w:rPr>
      </w:pPr>
      <w:r w:rsidRPr="00BB36A5">
        <w:rPr>
          <w:rFonts w:cstheme="majorHAnsi"/>
          <w:sz w:val="24"/>
          <w:szCs w:val="24"/>
          <w:lang w:val="es-PR"/>
        </w:rPr>
        <w:t>MONITORI</w:t>
      </w:r>
      <w:r w:rsidR="00472D03" w:rsidRPr="00BB36A5">
        <w:rPr>
          <w:rFonts w:cstheme="majorHAnsi"/>
          <w:sz w:val="24"/>
          <w:szCs w:val="24"/>
          <w:lang w:val="es-PR"/>
        </w:rPr>
        <w:t>A</w:t>
      </w:r>
    </w:p>
    <w:p w14:paraId="4EFDC4AD" w14:textId="276F0CDD" w:rsidR="0065372A" w:rsidRPr="00BB36A5" w:rsidRDefault="0065372A" w:rsidP="005E580E">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Luego de implementar los controles internos, el DEPR monitorea su eficacia periódicamente. Las actividades de </w:t>
      </w:r>
      <w:r w:rsidR="004B2CE1" w:rsidRPr="00BB36A5">
        <w:rPr>
          <w:rFonts w:asciiTheme="majorHAnsi" w:hAnsiTheme="majorHAnsi" w:cstheme="majorHAnsi"/>
          <w:color w:val="auto"/>
          <w:lang w:val="es-PR"/>
        </w:rPr>
        <w:t>monitoria</w:t>
      </w:r>
      <w:r w:rsidRPr="00BB36A5">
        <w:rPr>
          <w:rFonts w:asciiTheme="majorHAnsi" w:hAnsiTheme="majorHAnsi" w:cstheme="majorHAnsi"/>
          <w:color w:val="auto"/>
          <w:lang w:val="es-PR"/>
        </w:rPr>
        <w:t xml:space="preserve"> deben estar compuestas por procesos regulares en curso</w:t>
      </w:r>
      <w:r w:rsidR="004B2CE1" w:rsidRPr="00BB36A5">
        <w:rPr>
          <w:rFonts w:asciiTheme="majorHAnsi" w:hAnsiTheme="majorHAnsi" w:cstheme="majorHAnsi"/>
          <w:color w:val="auto"/>
          <w:lang w:val="es-PR"/>
        </w:rPr>
        <w:t>, así como</w:t>
      </w:r>
      <w:r w:rsidRPr="00BB36A5">
        <w:rPr>
          <w:rFonts w:asciiTheme="majorHAnsi" w:hAnsiTheme="majorHAnsi" w:cstheme="majorHAnsi"/>
          <w:color w:val="auto"/>
          <w:lang w:val="es-PR"/>
        </w:rPr>
        <w:t xml:space="preserve"> por evaluaciones </w:t>
      </w:r>
      <w:r w:rsidR="004B2CE1" w:rsidRPr="00BB36A5">
        <w:rPr>
          <w:rFonts w:asciiTheme="majorHAnsi" w:hAnsiTheme="majorHAnsi" w:cstheme="majorHAnsi"/>
          <w:color w:val="auto"/>
          <w:lang w:val="es-PR"/>
        </w:rPr>
        <w:t xml:space="preserve">especificas </w:t>
      </w:r>
      <w:r w:rsidR="00DF0AB9" w:rsidRPr="00BB36A5">
        <w:rPr>
          <w:rFonts w:asciiTheme="majorHAnsi" w:hAnsiTheme="majorHAnsi" w:cstheme="majorHAnsi"/>
          <w:color w:val="auto"/>
          <w:lang w:val="es-PR"/>
        </w:rPr>
        <w:t>independientes</w:t>
      </w:r>
      <w:r w:rsidRPr="00BB36A5">
        <w:rPr>
          <w:rFonts w:asciiTheme="majorHAnsi" w:hAnsiTheme="majorHAnsi" w:cstheme="majorHAnsi"/>
          <w:color w:val="auto"/>
          <w:lang w:val="es-PR"/>
        </w:rPr>
        <w:t xml:space="preserve"> en </w:t>
      </w:r>
      <w:r w:rsidR="004B2CE1" w:rsidRPr="00BB36A5">
        <w:rPr>
          <w:rFonts w:asciiTheme="majorHAnsi" w:hAnsiTheme="majorHAnsi" w:cstheme="majorHAnsi"/>
          <w:color w:val="auto"/>
          <w:lang w:val="es-PR"/>
        </w:rPr>
        <w:t>relación</w:t>
      </w:r>
      <w:r w:rsidRPr="00BB36A5">
        <w:rPr>
          <w:rFonts w:asciiTheme="majorHAnsi" w:hAnsiTheme="majorHAnsi" w:cstheme="majorHAnsi"/>
          <w:color w:val="auto"/>
          <w:lang w:val="es-PR"/>
        </w:rPr>
        <w:t xml:space="preserve"> a </w:t>
      </w:r>
      <w:r w:rsidR="004B2CE1" w:rsidRPr="00BB36A5">
        <w:rPr>
          <w:rFonts w:asciiTheme="majorHAnsi" w:hAnsiTheme="majorHAnsi" w:cstheme="majorHAnsi"/>
          <w:color w:val="auto"/>
          <w:lang w:val="es-PR"/>
        </w:rPr>
        <w:t>irregularidades</w:t>
      </w:r>
      <w:r w:rsidRPr="00BB36A5">
        <w:rPr>
          <w:rFonts w:asciiTheme="majorHAnsi" w:hAnsiTheme="majorHAnsi" w:cstheme="majorHAnsi"/>
          <w:color w:val="auto"/>
          <w:lang w:val="es-PR"/>
        </w:rPr>
        <w:t xml:space="preserve">. Algunos ejemplos de </w:t>
      </w:r>
      <w:r w:rsidR="004B2CE1" w:rsidRPr="00BB36A5">
        <w:rPr>
          <w:rFonts w:asciiTheme="majorHAnsi" w:hAnsiTheme="majorHAnsi" w:cstheme="majorHAnsi"/>
          <w:color w:val="auto"/>
          <w:lang w:val="es-PR"/>
        </w:rPr>
        <w:t>monitorias</w:t>
      </w:r>
      <w:r w:rsidRPr="00BB36A5">
        <w:rPr>
          <w:rFonts w:asciiTheme="majorHAnsi" w:hAnsiTheme="majorHAnsi" w:cstheme="majorHAnsi"/>
          <w:color w:val="auto"/>
          <w:lang w:val="es-PR"/>
        </w:rPr>
        <w:t xml:space="preserve"> continua</w:t>
      </w:r>
      <w:r w:rsidR="004B2CE1" w:rsidRPr="00BB36A5">
        <w:rPr>
          <w:rFonts w:asciiTheme="majorHAnsi" w:hAnsiTheme="majorHAnsi" w:cstheme="majorHAnsi"/>
          <w:color w:val="auto"/>
          <w:lang w:val="es-PR"/>
        </w:rPr>
        <w:t>s o en curso para probar la</w:t>
      </w:r>
      <w:r w:rsidRPr="00BB36A5">
        <w:rPr>
          <w:rFonts w:asciiTheme="majorHAnsi" w:hAnsiTheme="majorHAnsi" w:cstheme="majorHAnsi"/>
          <w:color w:val="auto"/>
          <w:lang w:val="es-PR"/>
        </w:rPr>
        <w:t xml:space="preserve"> eficacia de los controles internos son los comentarios</w:t>
      </w:r>
      <w:r w:rsidR="004B2CE1" w:rsidRPr="00BB36A5">
        <w:rPr>
          <w:rFonts w:asciiTheme="majorHAnsi" w:hAnsiTheme="majorHAnsi" w:cstheme="majorHAnsi"/>
          <w:color w:val="auto"/>
          <w:lang w:val="es-PR"/>
        </w:rPr>
        <w:t xml:space="preserve"> o retroalimentación</w:t>
      </w:r>
      <w:r w:rsidRPr="00BB36A5">
        <w:rPr>
          <w:rFonts w:asciiTheme="majorHAnsi" w:hAnsiTheme="majorHAnsi" w:cstheme="majorHAnsi"/>
          <w:color w:val="auto"/>
          <w:lang w:val="es-PR"/>
        </w:rPr>
        <w:t xml:space="preserve"> de los empleados sobre los controles y seguimiento </w:t>
      </w:r>
      <w:r w:rsidR="004B2CE1" w:rsidRPr="00BB36A5">
        <w:rPr>
          <w:rFonts w:asciiTheme="majorHAnsi" w:hAnsiTheme="majorHAnsi" w:cstheme="majorHAnsi"/>
          <w:color w:val="auto"/>
          <w:lang w:val="es-PR"/>
        </w:rPr>
        <w:t>a los</w:t>
      </w:r>
      <w:r w:rsidRPr="00BB36A5">
        <w:rPr>
          <w:rFonts w:asciiTheme="majorHAnsi" w:hAnsiTheme="majorHAnsi" w:cstheme="majorHAnsi"/>
          <w:color w:val="auto"/>
          <w:lang w:val="es-PR"/>
        </w:rPr>
        <w:t xml:space="preserve"> informes </w:t>
      </w:r>
      <w:r w:rsidR="004B2CE1" w:rsidRPr="00BB36A5">
        <w:rPr>
          <w:rFonts w:asciiTheme="majorHAnsi" w:hAnsiTheme="majorHAnsi" w:cstheme="majorHAnsi"/>
          <w:color w:val="auto"/>
          <w:lang w:val="es-PR"/>
        </w:rPr>
        <w:t xml:space="preserve">de </w:t>
      </w:r>
      <w:r w:rsidR="004C618F" w:rsidRPr="00BB36A5">
        <w:rPr>
          <w:rFonts w:asciiTheme="majorHAnsi" w:hAnsiTheme="majorHAnsi" w:cstheme="majorHAnsi"/>
          <w:color w:val="auto"/>
          <w:lang w:val="es-PR"/>
        </w:rPr>
        <w:t>personas</w:t>
      </w:r>
      <w:r w:rsidR="004B2CE1" w:rsidRPr="00BB36A5">
        <w:rPr>
          <w:rFonts w:asciiTheme="majorHAnsi" w:hAnsiTheme="majorHAnsi" w:cstheme="majorHAnsi"/>
          <w:color w:val="auto"/>
          <w:lang w:val="es-PR"/>
        </w:rPr>
        <w:t xml:space="preserve"> </w:t>
      </w:r>
      <w:r w:rsidRPr="00BB36A5">
        <w:rPr>
          <w:rFonts w:asciiTheme="majorHAnsi" w:hAnsiTheme="majorHAnsi" w:cstheme="majorHAnsi"/>
          <w:color w:val="auto"/>
          <w:lang w:val="es-PR"/>
        </w:rPr>
        <w:t>anónim</w:t>
      </w:r>
      <w:r w:rsidR="004B2CE1" w:rsidRPr="00BB36A5">
        <w:rPr>
          <w:rFonts w:asciiTheme="majorHAnsi" w:hAnsiTheme="majorHAnsi" w:cstheme="majorHAnsi"/>
          <w:color w:val="auto"/>
          <w:lang w:val="es-PR"/>
        </w:rPr>
        <w:t>a</w:t>
      </w:r>
      <w:r w:rsidRPr="00BB36A5">
        <w:rPr>
          <w:rFonts w:asciiTheme="majorHAnsi" w:hAnsiTheme="majorHAnsi" w:cstheme="majorHAnsi"/>
          <w:color w:val="auto"/>
          <w:lang w:val="es-PR"/>
        </w:rPr>
        <w:t>s. El monitoreo continuo</w:t>
      </w:r>
      <w:r w:rsidR="004C618F" w:rsidRPr="00BB36A5">
        <w:rPr>
          <w:rFonts w:asciiTheme="majorHAnsi" w:hAnsiTheme="majorHAnsi" w:cstheme="majorHAnsi"/>
          <w:color w:val="auto"/>
          <w:lang w:val="es-PR"/>
        </w:rPr>
        <w:t>,</w:t>
      </w:r>
      <w:r w:rsidRPr="00BB36A5">
        <w:rPr>
          <w:rFonts w:asciiTheme="majorHAnsi" w:hAnsiTheme="majorHAnsi" w:cstheme="majorHAnsi"/>
          <w:color w:val="auto"/>
          <w:lang w:val="es-PR"/>
        </w:rPr>
        <w:t xml:space="preserve"> también incluye la revisión periódica de las actividades de control, las autoevaluaciones</w:t>
      </w:r>
      <w:r w:rsidR="004B2CE1" w:rsidRPr="00BB36A5">
        <w:rPr>
          <w:rFonts w:asciiTheme="majorHAnsi" w:hAnsiTheme="majorHAnsi" w:cstheme="majorHAnsi"/>
          <w:color w:val="auto"/>
          <w:lang w:val="es-PR"/>
        </w:rPr>
        <w:t>, el adiestramiento</w:t>
      </w:r>
      <w:r w:rsidRPr="00BB36A5">
        <w:rPr>
          <w:rFonts w:asciiTheme="majorHAnsi" w:hAnsiTheme="majorHAnsi" w:cstheme="majorHAnsi"/>
          <w:color w:val="auto"/>
          <w:lang w:val="es-PR"/>
        </w:rPr>
        <w:t xml:space="preserve"> </w:t>
      </w:r>
      <w:r w:rsidR="004B2CE1" w:rsidRPr="00BB36A5">
        <w:rPr>
          <w:rFonts w:asciiTheme="majorHAnsi" w:hAnsiTheme="majorHAnsi" w:cstheme="majorHAnsi"/>
          <w:color w:val="auto"/>
          <w:lang w:val="es-PR"/>
        </w:rPr>
        <w:t>a los programas</w:t>
      </w:r>
      <w:r w:rsidRPr="00BB36A5">
        <w:rPr>
          <w:rFonts w:asciiTheme="majorHAnsi" w:hAnsiTheme="majorHAnsi" w:cstheme="majorHAnsi"/>
          <w:color w:val="auto"/>
          <w:lang w:val="es-PR"/>
        </w:rPr>
        <w:t xml:space="preserve"> y </w:t>
      </w:r>
      <w:r w:rsidR="004B2CE1" w:rsidRPr="00BB36A5">
        <w:rPr>
          <w:rFonts w:asciiTheme="majorHAnsi" w:hAnsiTheme="majorHAnsi" w:cstheme="majorHAnsi"/>
          <w:color w:val="auto"/>
          <w:lang w:val="es-PR"/>
        </w:rPr>
        <w:t>la gerencia</w:t>
      </w:r>
      <w:r w:rsidRPr="00BB36A5">
        <w:rPr>
          <w:rFonts w:asciiTheme="majorHAnsi" w:hAnsiTheme="majorHAnsi" w:cstheme="majorHAnsi"/>
          <w:color w:val="auto"/>
          <w:lang w:val="es-PR"/>
        </w:rPr>
        <w:t xml:space="preserve"> sobre su</w:t>
      </w:r>
      <w:r w:rsidR="004B2CE1" w:rsidRPr="00BB36A5">
        <w:rPr>
          <w:rFonts w:asciiTheme="majorHAnsi" w:hAnsiTheme="majorHAnsi" w:cstheme="majorHAnsi"/>
          <w:color w:val="auto"/>
          <w:lang w:val="es-PR"/>
        </w:rPr>
        <w:t>s</w:t>
      </w:r>
      <w:r w:rsidRPr="00BB36A5">
        <w:rPr>
          <w:rFonts w:asciiTheme="majorHAnsi" w:hAnsiTheme="majorHAnsi" w:cstheme="majorHAnsi"/>
          <w:color w:val="auto"/>
          <w:lang w:val="es-PR"/>
        </w:rPr>
        <w:t xml:space="preserve"> responsabilidad</w:t>
      </w:r>
      <w:r w:rsidR="004B2CE1" w:rsidRPr="00BB36A5">
        <w:rPr>
          <w:rFonts w:asciiTheme="majorHAnsi" w:hAnsiTheme="majorHAnsi" w:cstheme="majorHAnsi"/>
          <w:color w:val="auto"/>
          <w:lang w:val="es-PR"/>
        </w:rPr>
        <w:t>es</w:t>
      </w:r>
      <w:r w:rsidRPr="00BB36A5">
        <w:rPr>
          <w:rFonts w:asciiTheme="majorHAnsi" w:hAnsiTheme="majorHAnsi" w:cstheme="majorHAnsi"/>
          <w:color w:val="auto"/>
          <w:lang w:val="es-PR"/>
        </w:rPr>
        <w:t xml:space="preserve"> </w:t>
      </w:r>
      <w:r w:rsidR="004B2CE1" w:rsidRPr="00BB36A5">
        <w:rPr>
          <w:rFonts w:asciiTheme="majorHAnsi" w:hAnsiTheme="majorHAnsi" w:cstheme="majorHAnsi"/>
          <w:color w:val="auto"/>
          <w:lang w:val="es-PR"/>
        </w:rPr>
        <w:t>referente a los</w:t>
      </w:r>
      <w:r w:rsidRPr="00BB36A5">
        <w:rPr>
          <w:rFonts w:asciiTheme="majorHAnsi" w:hAnsiTheme="majorHAnsi" w:cstheme="majorHAnsi"/>
          <w:color w:val="auto"/>
          <w:lang w:val="es-PR"/>
        </w:rPr>
        <w:t xml:space="preserve"> control</w:t>
      </w:r>
      <w:r w:rsidR="004B2CE1" w:rsidRPr="00BB36A5">
        <w:rPr>
          <w:rFonts w:asciiTheme="majorHAnsi" w:hAnsiTheme="majorHAnsi" w:cstheme="majorHAnsi"/>
          <w:color w:val="auto"/>
          <w:lang w:val="es-PR"/>
        </w:rPr>
        <w:t>es</w:t>
      </w:r>
      <w:r w:rsidRPr="00BB36A5">
        <w:rPr>
          <w:rFonts w:asciiTheme="majorHAnsi" w:hAnsiTheme="majorHAnsi" w:cstheme="majorHAnsi"/>
          <w:color w:val="auto"/>
          <w:lang w:val="es-PR"/>
        </w:rPr>
        <w:t xml:space="preserve"> interno</w:t>
      </w:r>
      <w:r w:rsidR="004B2CE1" w:rsidRPr="00BB36A5">
        <w:rPr>
          <w:rFonts w:asciiTheme="majorHAnsi" w:hAnsiTheme="majorHAnsi" w:cstheme="majorHAnsi"/>
          <w:color w:val="auto"/>
          <w:lang w:val="es-PR"/>
        </w:rPr>
        <w:t>s</w:t>
      </w:r>
      <w:r w:rsidRPr="00BB36A5">
        <w:rPr>
          <w:rFonts w:asciiTheme="majorHAnsi" w:hAnsiTheme="majorHAnsi" w:cstheme="majorHAnsi"/>
          <w:color w:val="auto"/>
          <w:lang w:val="es-PR"/>
        </w:rPr>
        <w:t>. Entre los ejemplos de</w:t>
      </w:r>
      <w:r w:rsidR="00490BE6" w:rsidRPr="00BB36A5">
        <w:rPr>
          <w:rFonts w:asciiTheme="majorHAnsi" w:hAnsiTheme="majorHAnsi" w:cstheme="majorHAnsi"/>
          <w:color w:val="auto"/>
          <w:lang w:val="es-PR"/>
        </w:rPr>
        <w:t xml:space="preserve"> controles internos eficaces sobre la</w:t>
      </w:r>
      <w:r w:rsidRPr="00BB36A5">
        <w:rPr>
          <w:rFonts w:asciiTheme="majorHAnsi" w:hAnsiTheme="majorHAnsi" w:cstheme="majorHAnsi"/>
          <w:color w:val="auto"/>
          <w:lang w:val="es-PR"/>
        </w:rPr>
        <w:t xml:space="preserve"> supervisión independiente</w:t>
      </w:r>
      <w:r w:rsidR="004C618F" w:rsidRPr="00BB36A5">
        <w:rPr>
          <w:rFonts w:asciiTheme="majorHAnsi" w:hAnsiTheme="majorHAnsi" w:cstheme="majorHAnsi"/>
          <w:color w:val="auto"/>
          <w:lang w:val="es-PR"/>
        </w:rPr>
        <w:t>,</w:t>
      </w:r>
      <w:r w:rsidRPr="00BB36A5">
        <w:rPr>
          <w:rFonts w:asciiTheme="majorHAnsi" w:hAnsiTheme="majorHAnsi" w:cstheme="majorHAnsi"/>
          <w:color w:val="auto"/>
          <w:lang w:val="es-PR"/>
        </w:rPr>
        <w:t xml:space="preserve"> se incluyen revisiones externas específicas del diseño de los controles internos utilizados por la organización.</w:t>
      </w:r>
    </w:p>
    <w:p w14:paraId="78C4B044" w14:textId="77777777" w:rsidR="00F54322" w:rsidRPr="00BB36A5" w:rsidRDefault="00F54322" w:rsidP="00F54322">
      <w:pPr>
        <w:pStyle w:val="Default"/>
        <w:spacing w:after="9"/>
        <w:jc w:val="both"/>
        <w:rPr>
          <w:rFonts w:asciiTheme="majorHAnsi" w:hAnsiTheme="majorHAnsi" w:cstheme="majorHAnsi"/>
          <w:color w:val="auto"/>
          <w:lang w:val="es-PR"/>
        </w:rPr>
      </w:pPr>
    </w:p>
    <w:p w14:paraId="12430955" w14:textId="55C85645" w:rsidR="00490BE6" w:rsidRPr="00BB36A5" w:rsidRDefault="00490BE6" w:rsidP="00F5432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El DEPR desarroll</w:t>
      </w:r>
      <w:r w:rsidR="00104131" w:rsidRPr="00BB36A5">
        <w:rPr>
          <w:rFonts w:asciiTheme="majorHAnsi" w:hAnsiTheme="majorHAnsi" w:cstheme="majorHAnsi"/>
          <w:color w:val="auto"/>
          <w:lang w:val="es-PR"/>
        </w:rPr>
        <w:t>ó</w:t>
      </w:r>
      <w:r w:rsidRPr="00BB36A5">
        <w:rPr>
          <w:rFonts w:asciiTheme="majorHAnsi" w:hAnsiTheme="majorHAnsi" w:cstheme="majorHAnsi"/>
          <w:color w:val="auto"/>
          <w:lang w:val="es-PR"/>
        </w:rPr>
        <w:t xml:space="preserve"> instrumentos adicionales de monitoria o se modificaron los existentes, con el fin de validar si el DEPR seguía todos los procedimientos estipulados por la </w:t>
      </w:r>
      <w:r w:rsidR="004C618F" w:rsidRPr="00BB36A5">
        <w:rPr>
          <w:rFonts w:asciiTheme="majorHAnsi" w:hAnsiTheme="majorHAnsi" w:cstheme="majorHAnsi"/>
          <w:color w:val="auto"/>
          <w:lang w:val="es-PR"/>
        </w:rPr>
        <w:t>Unidad de Cont</w:t>
      </w:r>
      <w:r w:rsidR="00104131" w:rsidRPr="00BB36A5">
        <w:rPr>
          <w:rFonts w:asciiTheme="majorHAnsi" w:hAnsiTheme="majorHAnsi" w:cstheme="majorHAnsi"/>
          <w:color w:val="auto"/>
          <w:lang w:val="es-PR"/>
        </w:rPr>
        <w:t>ratos</w:t>
      </w:r>
      <w:r w:rsidR="004C618F" w:rsidRPr="00BB36A5">
        <w:rPr>
          <w:rFonts w:asciiTheme="majorHAnsi" w:hAnsiTheme="majorHAnsi" w:cstheme="majorHAnsi"/>
          <w:color w:val="auto"/>
          <w:lang w:val="es-PR"/>
        </w:rPr>
        <w:t xml:space="preserve"> del DEPR</w:t>
      </w:r>
      <w:r w:rsidRPr="00BB36A5">
        <w:rPr>
          <w:rFonts w:asciiTheme="majorHAnsi" w:hAnsiTheme="majorHAnsi" w:cstheme="majorHAnsi"/>
          <w:color w:val="auto"/>
          <w:lang w:val="es-PR"/>
        </w:rPr>
        <w:t xml:space="preserve">. Además, el DEPR desarrolló una guía interna para dar seguimiento específicamente al programa </w:t>
      </w:r>
      <w:proofErr w:type="spellStart"/>
      <w:r w:rsidRPr="00BB36A5">
        <w:rPr>
          <w:rFonts w:asciiTheme="majorHAnsi" w:hAnsiTheme="majorHAnsi" w:cstheme="majorHAnsi"/>
          <w:i/>
          <w:iCs/>
          <w:color w:val="auto"/>
          <w:lang w:val="es-PR"/>
        </w:rPr>
        <w:t>Restart</w:t>
      </w:r>
      <w:proofErr w:type="spellEnd"/>
      <w:r w:rsidRPr="00BB36A5">
        <w:rPr>
          <w:rFonts w:asciiTheme="majorHAnsi" w:hAnsiTheme="majorHAnsi" w:cstheme="majorHAnsi"/>
          <w:i/>
          <w:iCs/>
          <w:color w:val="auto"/>
          <w:lang w:val="es-PR"/>
        </w:rPr>
        <w:t>.</w:t>
      </w:r>
      <w:r w:rsidRPr="00BB36A5">
        <w:rPr>
          <w:rFonts w:asciiTheme="majorHAnsi" w:hAnsiTheme="majorHAnsi" w:cstheme="majorHAnsi"/>
          <w:color w:val="auto"/>
          <w:lang w:val="es-PR"/>
        </w:rPr>
        <w:t xml:space="preserve"> Las orientaciones con respecto a este manual se proporcionarán al personal del DEPR con el fin de ofrecer orientación sobre los requisitos y procedimientos del programa </w:t>
      </w:r>
      <w:proofErr w:type="spellStart"/>
      <w:r w:rsidRPr="00BB36A5">
        <w:rPr>
          <w:rFonts w:asciiTheme="majorHAnsi" w:hAnsiTheme="majorHAnsi" w:cstheme="majorHAnsi"/>
          <w:i/>
          <w:iCs/>
          <w:color w:val="auto"/>
          <w:lang w:val="es-PR"/>
        </w:rPr>
        <w:t>Restart</w:t>
      </w:r>
      <w:proofErr w:type="spellEnd"/>
      <w:r w:rsidRPr="00BB36A5">
        <w:rPr>
          <w:rFonts w:asciiTheme="majorHAnsi" w:hAnsiTheme="majorHAnsi" w:cstheme="majorHAnsi"/>
          <w:i/>
          <w:iCs/>
          <w:color w:val="auto"/>
          <w:lang w:val="es-PR"/>
        </w:rPr>
        <w:t xml:space="preserve">, </w:t>
      </w:r>
      <w:r w:rsidRPr="00BB36A5">
        <w:rPr>
          <w:rFonts w:asciiTheme="majorHAnsi" w:hAnsiTheme="majorHAnsi" w:cstheme="majorHAnsi"/>
          <w:color w:val="auto"/>
          <w:lang w:val="es-PR"/>
        </w:rPr>
        <w:t>las cuales deben seguirse para poder participar.</w:t>
      </w:r>
      <w:r w:rsidRPr="00BB36A5">
        <w:rPr>
          <w:rStyle w:val="FootnoteReference"/>
          <w:rFonts w:asciiTheme="majorHAnsi" w:hAnsiTheme="majorHAnsi" w:cstheme="majorHAnsi"/>
          <w:color w:val="auto"/>
        </w:rPr>
        <w:footnoteReference w:id="11"/>
      </w:r>
      <w:r w:rsidRPr="00BB36A5">
        <w:rPr>
          <w:rFonts w:asciiTheme="majorHAnsi" w:hAnsiTheme="majorHAnsi" w:cstheme="majorHAnsi"/>
          <w:color w:val="auto"/>
          <w:lang w:val="es-PR"/>
        </w:rPr>
        <w:t xml:space="preserve">  </w:t>
      </w:r>
    </w:p>
    <w:p w14:paraId="535C1731" w14:textId="77777777" w:rsidR="00490BE6" w:rsidRPr="00BB36A5" w:rsidRDefault="00490BE6" w:rsidP="00F54322">
      <w:pPr>
        <w:pStyle w:val="Default"/>
        <w:spacing w:after="9"/>
        <w:jc w:val="both"/>
        <w:rPr>
          <w:rFonts w:asciiTheme="majorHAnsi" w:hAnsiTheme="majorHAnsi" w:cstheme="majorHAnsi"/>
          <w:color w:val="auto"/>
          <w:lang w:val="es-PR"/>
        </w:rPr>
      </w:pPr>
    </w:p>
    <w:p w14:paraId="52EF967F" w14:textId="77777777" w:rsidR="00F54322" w:rsidRPr="00BB36A5" w:rsidRDefault="00F54322" w:rsidP="00F54322">
      <w:pPr>
        <w:pStyle w:val="Default"/>
        <w:spacing w:after="9"/>
        <w:jc w:val="both"/>
        <w:rPr>
          <w:rFonts w:asciiTheme="majorHAnsi" w:hAnsiTheme="majorHAnsi" w:cstheme="majorHAnsi"/>
          <w:color w:val="FF0000"/>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740"/>
      </w:tblGrid>
      <w:tr w:rsidR="00F54322" w:rsidRPr="00BB36A5" w14:paraId="643F8D0A" w14:textId="77777777" w:rsidTr="001B50CE">
        <w:tc>
          <w:tcPr>
            <w:tcW w:w="2250" w:type="dxa"/>
            <w:tcBorders>
              <w:top w:val="single" w:sz="12" w:space="0" w:color="auto"/>
              <w:bottom w:val="single" w:sz="12" w:space="0" w:color="auto"/>
            </w:tcBorders>
            <w:vAlign w:val="center"/>
          </w:tcPr>
          <w:p w14:paraId="72B6421E" w14:textId="10169ED0" w:rsidR="00F54322" w:rsidRPr="00BB36A5" w:rsidRDefault="00F54322" w:rsidP="001B50CE">
            <w:pPr>
              <w:jc w:val="center"/>
              <w:rPr>
                <w:rFonts w:asciiTheme="majorHAnsi" w:hAnsiTheme="majorHAnsi" w:cstheme="majorHAnsi"/>
              </w:rPr>
            </w:pPr>
            <w:proofErr w:type="spellStart"/>
            <w:r w:rsidRPr="00BB36A5">
              <w:rPr>
                <w:rFonts w:asciiTheme="majorHAnsi" w:hAnsiTheme="majorHAnsi" w:cstheme="majorHAnsi"/>
              </w:rPr>
              <w:t>T</w:t>
            </w:r>
            <w:r w:rsidR="00472D03" w:rsidRPr="00BB36A5">
              <w:rPr>
                <w:rFonts w:asciiTheme="majorHAnsi" w:hAnsiTheme="majorHAnsi" w:cstheme="majorHAnsi"/>
              </w:rPr>
              <w:t>ipos</w:t>
            </w:r>
            <w:proofErr w:type="spellEnd"/>
            <w:r w:rsidR="00472D03" w:rsidRPr="00BB36A5">
              <w:rPr>
                <w:rFonts w:asciiTheme="majorHAnsi" w:hAnsiTheme="majorHAnsi" w:cstheme="majorHAnsi"/>
              </w:rPr>
              <w:t xml:space="preserve"> de </w:t>
            </w:r>
            <w:proofErr w:type="spellStart"/>
            <w:r w:rsidR="00472D03" w:rsidRPr="00BB36A5">
              <w:rPr>
                <w:rFonts w:asciiTheme="majorHAnsi" w:hAnsiTheme="majorHAnsi" w:cstheme="majorHAnsi"/>
              </w:rPr>
              <w:t>Controles</w:t>
            </w:r>
            <w:proofErr w:type="spellEnd"/>
          </w:p>
        </w:tc>
        <w:tc>
          <w:tcPr>
            <w:tcW w:w="7740" w:type="dxa"/>
            <w:tcBorders>
              <w:top w:val="single" w:sz="12" w:space="0" w:color="auto"/>
              <w:bottom w:val="single" w:sz="12" w:space="0" w:color="auto"/>
            </w:tcBorders>
            <w:vAlign w:val="center"/>
          </w:tcPr>
          <w:p w14:paraId="55136611" w14:textId="48BCD5EA" w:rsidR="00F54322" w:rsidRPr="00BB36A5" w:rsidRDefault="00F54322" w:rsidP="001B50CE">
            <w:pPr>
              <w:jc w:val="center"/>
              <w:rPr>
                <w:rFonts w:asciiTheme="majorHAnsi" w:hAnsiTheme="majorHAnsi" w:cstheme="majorHAnsi"/>
              </w:rPr>
            </w:pPr>
            <w:proofErr w:type="spellStart"/>
            <w:r w:rsidRPr="00BB36A5">
              <w:rPr>
                <w:rFonts w:asciiTheme="majorHAnsi" w:hAnsiTheme="majorHAnsi" w:cstheme="majorHAnsi"/>
              </w:rPr>
              <w:t>Activi</w:t>
            </w:r>
            <w:r w:rsidR="00472D03" w:rsidRPr="00BB36A5">
              <w:rPr>
                <w:rFonts w:asciiTheme="majorHAnsi" w:hAnsiTheme="majorHAnsi" w:cstheme="majorHAnsi"/>
              </w:rPr>
              <w:t>dad</w:t>
            </w:r>
            <w:proofErr w:type="spellEnd"/>
          </w:p>
        </w:tc>
      </w:tr>
      <w:tr w:rsidR="00F54322" w:rsidRPr="00BB36A5" w14:paraId="082B7F15" w14:textId="77777777" w:rsidTr="001B50CE">
        <w:tc>
          <w:tcPr>
            <w:tcW w:w="2250" w:type="dxa"/>
            <w:tcBorders>
              <w:top w:val="single" w:sz="12" w:space="0" w:color="auto"/>
              <w:bottom w:val="single" w:sz="12" w:space="0" w:color="auto"/>
            </w:tcBorders>
            <w:vAlign w:val="center"/>
          </w:tcPr>
          <w:p w14:paraId="7512A3ED" w14:textId="0C6DFD27" w:rsidR="00F54322" w:rsidRPr="00BB36A5" w:rsidRDefault="00EF3742" w:rsidP="00A774EE">
            <w:pPr>
              <w:rPr>
                <w:rFonts w:asciiTheme="majorHAnsi" w:hAnsiTheme="majorHAnsi" w:cstheme="majorHAnsi"/>
                <w:lang w:val="es-PR"/>
              </w:rPr>
            </w:pPr>
            <w:r w:rsidRPr="00BB36A5">
              <w:rPr>
                <w:rFonts w:asciiTheme="majorHAnsi" w:hAnsiTheme="majorHAnsi" w:cstheme="majorHAnsi"/>
                <w:lang w:val="es-PR"/>
              </w:rPr>
              <w:t>Monitoria</w:t>
            </w:r>
            <w:r w:rsidRPr="00BB36A5">
              <w:rPr>
                <w:rFonts w:asciiTheme="majorHAnsi" w:hAnsiTheme="majorHAnsi" w:cstheme="majorHAnsi"/>
              </w:rPr>
              <w:t xml:space="preserve"> continua</w:t>
            </w:r>
          </w:p>
        </w:tc>
        <w:tc>
          <w:tcPr>
            <w:tcW w:w="7740" w:type="dxa"/>
            <w:tcBorders>
              <w:top w:val="single" w:sz="12" w:space="0" w:color="auto"/>
              <w:bottom w:val="single" w:sz="12" w:space="0" w:color="auto"/>
            </w:tcBorders>
            <w:vAlign w:val="center"/>
          </w:tcPr>
          <w:p w14:paraId="6727BF7E" w14:textId="19C9AA35" w:rsidR="00F54322" w:rsidRPr="00BB36A5" w:rsidRDefault="00EF3742" w:rsidP="00342E9E">
            <w:pPr>
              <w:pStyle w:val="ListParagraph"/>
              <w:numPr>
                <w:ilvl w:val="0"/>
                <w:numId w:val="4"/>
              </w:numPr>
              <w:rPr>
                <w:rFonts w:asciiTheme="majorHAnsi" w:hAnsiTheme="majorHAnsi" w:cstheme="majorHAnsi"/>
              </w:rPr>
            </w:pPr>
            <w:r w:rsidRPr="00BB36A5">
              <w:rPr>
                <w:rFonts w:asciiTheme="majorHAnsi" w:hAnsiTheme="majorHAnsi" w:cstheme="majorHAnsi"/>
                <w:lang w:val="es-PR"/>
              </w:rPr>
              <w:t>Actualización</w:t>
            </w:r>
            <w:r w:rsidRPr="00BB36A5">
              <w:rPr>
                <w:rFonts w:asciiTheme="majorHAnsi" w:hAnsiTheme="majorHAnsi" w:cstheme="majorHAnsi"/>
              </w:rPr>
              <w:t xml:space="preserve"> de los </w:t>
            </w:r>
            <w:r w:rsidR="009239F6" w:rsidRPr="00BB36A5">
              <w:rPr>
                <w:rFonts w:asciiTheme="majorHAnsi" w:hAnsiTheme="majorHAnsi" w:cstheme="majorHAnsi"/>
              </w:rPr>
              <w:t>DASHBOARD</w:t>
            </w:r>
          </w:p>
          <w:p w14:paraId="7AEA4379" w14:textId="76FF5C0F" w:rsidR="00F54322" w:rsidRPr="00BB36A5" w:rsidRDefault="00043380" w:rsidP="00342E9E">
            <w:pPr>
              <w:pStyle w:val="ListParagraph"/>
              <w:numPr>
                <w:ilvl w:val="0"/>
                <w:numId w:val="4"/>
              </w:numPr>
              <w:rPr>
                <w:rFonts w:asciiTheme="majorHAnsi" w:hAnsiTheme="majorHAnsi" w:cstheme="majorHAnsi"/>
                <w:lang w:val="es-PR"/>
              </w:rPr>
            </w:pPr>
            <w:r w:rsidRPr="00BB36A5">
              <w:rPr>
                <w:rFonts w:asciiTheme="majorHAnsi" w:hAnsiTheme="majorHAnsi" w:cstheme="majorHAnsi"/>
                <w:lang w:val="es-PR"/>
              </w:rPr>
              <w:t xml:space="preserve">Comparaciones y revisiones </w:t>
            </w:r>
            <w:r w:rsidR="00DF0AB9" w:rsidRPr="00BB36A5">
              <w:rPr>
                <w:rFonts w:asciiTheme="majorHAnsi" w:hAnsiTheme="majorHAnsi" w:cstheme="majorHAnsi"/>
                <w:lang w:val="es-PR"/>
              </w:rPr>
              <w:t>regulares / continuas</w:t>
            </w:r>
          </w:p>
        </w:tc>
      </w:tr>
      <w:tr w:rsidR="00F54322" w:rsidRPr="00BB36A5" w14:paraId="6D6CCEB9" w14:textId="77777777" w:rsidTr="001B50CE">
        <w:tc>
          <w:tcPr>
            <w:tcW w:w="2250" w:type="dxa"/>
            <w:tcBorders>
              <w:top w:val="single" w:sz="12" w:space="0" w:color="auto"/>
              <w:bottom w:val="single" w:sz="12" w:space="0" w:color="auto"/>
            </w:tcBorders>
            <w:vAlign w:val="center"/>
          </w:tcPr>
          <w:p w14:paraId="07B70181" w14:textId="584E1AFC" w:rsidR="00F54322" w:rsidRPr="00BB36A5" w:rsidRDefault="00DF0AB9" w:rsidP="00A774EE">
            <w:pPr>
              <w:rPr>
                <w:rFonts w:asciiTheme="majorHAnsi" w:hAnsiTheme="majorHAnsi" w:cstheme="majorHAnsi"/>
                <w:lang w:val="es-PR"/>
              </w:rPr>
            </w:pPr>
            <w:proofErr w:type="spellStart"/>
            <w:r w:rsidRPr="00BB36A5">
              <w:rPr>
                <w:rFonts w:asciiTheme="majorHAnsi" w:hAnsiTheme="majorHAnsi" w:cstheme="majorHAnsi"/>
              </w:rPr>
              <w:t>Evaluaciones</w:t>
            </w:r>
            <w:proofErr w:type="spellEnd"/>
            <w:r w:rsidRPr="00BB36A5">
              <w:rPr>
                <w:rFonts w:asciiTheme="majorHAnsi" w:hAnsiTheme="majorHAnsi" w:cstheme="majorHAnsi"/>
              </w:rPr>
              <w:t xml:space="preserve"> </w:t>
            </w:r>
            <w:proofErr w:type="spellStart"/>
            <w:r w:rsidRPr="00BB36A5">
              <w:rPr>
                <w:rFonts w:asciiTheme="majorHAnsi" w:hAnsiTheme="majorHAnsi" w:cstheme="majorHAnsi"/>
              </w:rPr>
              <w:t>Independientes</w:t>
            </w:r>
            <w:proofErr w:type="spellEnd"/>
          </w:p>
        </w:tc>
        <w:tc>
          <w:tcPr>
            <w:tcW w:w="7740" w:type="dxa"/>
            <w:tcBorders>
              <w:top w:val="single" w:sz="12" w:space="0" w:color="auto"/>
              <w:bottom w:val="single" w:sz="12" w:space="0" w:color="auto"/>
            </w:tcBorders>
            <w:vAlign w:val="center"/>
          </w:tcPr>
          <w:p w14:paraId="12C1602C" w14:textId="33D6A277" w:rsidR="00F54322" w:rsidRPr="00BB36A5" w:rsidRDefault="002D2213" w:rsidP="00342E9E">
            <w:pPr>
              <w:pStyle w:val="ListParagraph"/>
              <w:numPr>
                <w:ilvl w:val="0"/>
                <w:numId w:val="4"/>
              </w:numPr>
              <w:rPr>
                <w:rFonts w:asciiTheme="majorHAnsi" w:hAnsiTheme="majorHAnsi" w:cstheme="majorHAnsi"/>
              </w:rPr>
            </w:pPr>
            <w:r w:rsidRPr="00BB36A5">
              <w:rPr>
                <w:rFonts w:asciiTheme="majorHAnsi" w:hAnsiTheme="majorHAnsi" w:cstheme="majorHAnsi"/>
                <w:lang w:val="es-PR"/>
              </w:rPr>
              <w:t>Auditorias</w:t>
            </w:r>
            <w:r w:rsidR="00DF0AB9" w:rsidRPr="00BB36A5">
              <w:rPr>
                <w:rFonts w:asciiTheme="majorHAnsi" w:hAnsiTheme="majorHAnsi" w:cstheme="majorHAnsi"/>
              </w:rPr>
              <w:t xml:space="preserve"> </w:t>
            </w:r>
            <w:proofErr w:type="spellStart"/>
            <w:r w:rsidR="00F54322" w:rsidRPr="00BB36A5">
              <w:rPr>
                <w:rFonts w:asciiTheme="majorHAnsi" w:hAnsiTheme="majorHAnsi" w:cstheme="majorHAnsi"/>
              </w:rPr>
              <w:t>Inter</w:t>
            </w:r>
            <w:r w:rsidR="00DF0AB9" w:rsidRPr="00BB36A5">
              <w:rPr>
                <w:rFonts w:asciiTheme="majorHAnsi" w:hAnsiTheme="majorHAnsi" w:cstheme="majorHAnsi"/>
              </w:rPr>
              <w:t>nas</w:t>
            </w:r>
            <w:proofErr w:type="spellEnd"/>
            <w:r w:rsidR="00F54322" w:rsidRPr="00BB36A5">
              <w:rPr>
                <w:rFonts w:asciiTheme="majorHAnsi" w:hAnsiTheme="majorHAnsi" w:cstheme="majorHAnsi"/>
              </w:rPr>
              <w:t>/</w:t>
            </w:r>
            <w:proofErr w:type="spellStart"/>
            <w:r w:rsidR="00F54322" w:rsidRPr="00BB36A5">
              <w:rPr>
                <w:rFonts w:asciiTheme="majorHAnsi" w:hAnsiTheme="majorHAnsi" w:cstheme="majorHAnsi"/>
              </w:rPr>
              <w:t>extern</w:t>
            </w:r>
            <w:r w:rsidR="00DF0AB9" w:rsidRPr="00BB36A5">
              <w:rPr>
                <w:rFonts w:asciiTheme="majorHAnsi" w:hAnsiTheme="majorHAnsi" w:cstheme="majorHAnsi"/>
              </w:rPr>
              <w:t>as</w:t>
            </w:r>
            <w:proofErr w:type="spellEnd"/>
          </w:p>
          <w:p w14:paraId="1F933534" w14:textId="00178D85" w:rsidR="00F54322" w:rsidRPr="00BB36A5" w:rsidRDefault="00DF0AB9" w:rsidP="00342E9E">
            <w:pPr>
              <w:pStyle w:val="ListParagraph"/>
              <w:numPr>
                <w:ilvl w:val="0"/>
                <w:numId w:val="4"/>
              </w:numPr>
              <w:rPr>
                <w:rFonts w:asciiTheme="majorHAnsi" w:hAnsiTheme="majorHAnsi" w:cstheme="majorHAnsi"/>
                <w:lang w:val="es-PR"/>
              </w:rPr>
            </w:pPr>
            <w:r w:rsidRPr="00BB36A5">
              <w:rPr>
                <w:rFonts w:asciiTheme="majorHAnsi" w:hAnsiTheme="majorHAnsi" w:cstheme="majorHAnsi"/>
                <w:lang w:val="es-PR"/>
              </w:rPr>
              <w:lastRenderedPageBreak/>
              <w:t xml:space="preserve">Autoevaluaciones periódicas basadas en riesgo </w:t>
            </w:r>
            <w:r w:rsidR="00F54322" w:rsidRPr="00BB36A5">
              <w:rPr>
                <w:rFonts w:asciiTheme="majorHAnsi" w:hAnsiTheme="majorHAnsi" w:cstheme="majorHAnsi"/>
                <w:lang w:val="es-PR"/>
              </w:rPr>
              <w:t>(</w:t>
            </w:r>
            <w:r w:rsidRPr="00BB36A5">
              <w:rPr>
                <w:rFonts w:asciiTheme="majorHAnsi" w:hAnsiTheme="majorHAnsi" w:cstheme="majorHAnsi"/>
                <w:lang w:val="es-PR"/>
              </w:rPr>
              <w:t>pruebas y evaluaciones de control)</w:t>
            </w:r>
          </w:p>
        </w:tc>
      </w:tr>
      <w:tr w:rsidR="00F54322" w:rsidRPr="00BB36A5" w14:paraId="356781E1" w14:textId="77777777" w:rsidTr="001B50CE">
        <w:tc>
          <w:tcPr>
            <w:tcW w:w="2250" w:type="dxa"/>
            <w:tcBorders>
              <w:top w:val="single" w:sz="12" w:space="0" w:color="auto"/>
              <w:bottom w:val="single" w:sz="12" w:space="0" w:color="auto"/>
            </w:tcBorders>
            <w:vAlign w:val="center"/>
          </w:tcPr>
          <w:p w14:paraId="02439050" w14:textId="230A5D54" w:rsidR="00F54322" w:rsidRPr="00BB36A5" w:rsidRDefault="00DF0AB9" w:rsidP="001B50CE">
            <w:pPr>
              <w:rPr>
                <w:rFonts w:asciiTheme="majorHAnsi" w:hAnsiTheme="majorHAnsi" w:cstheme="majorHAnsi"/>
              </w:rPr>
            </w:pPr>
            <w:proofErr w:type="spellStart"/>
            <w:r w:rsidRPr="00BB36A5">
              <w:rPr>
                <w:rFonts w:asciiTheme="majorHAnsi" w:hAnsiTheme="majorHAnsi" w:cstheme="majorHAnsi"/>
              </w:rPr>
              <w:lastRenderedPageBreak/>
              <w:t>Irregularidades</w:t>
            </w:r>
            <w:proofErr w:type="spellEnd"/>
            <w:r w:rsidRPr="00BB36A5">
              <w:rPr>
                <w:rFonts w:asciiTheme="majorHAnsi" w:hAnsiTheme="majorHAnsi" w:cstheme="majorHAnsi"/>
              </w:rPr>
              <w:t xml:space="preserve"> de </w:t>
            </w:r>
            <w:proofErr w:type="spellStart"/>
            <w:r w:rsidRPr="00BB36A5">
              <w:rPr>
                <w:rFonts w:asciiTheme="majorHAnsi" w:hAnsiTheme="majorHAnsi" w:cstheme="majorHAnsi"/>
              </w:rPr>
              <w:t>Controles</w:t>
            </w:r>
            <w:proofErr w:type="spellEnd"/>
          </w:p>
        </w:tc>
        <w:tc>
          <w:tcPr>
            <w:tcW w:w="7740" w:type="dxa"/>
            <w:tcBorders>
              <w:top w:val="single" w:sz="12" w:space="0" w:color="auto"/>
              <w:bottom w:val="single" w:sz="12" w:space="0" w:color="auto"/>
            </w:tcBorders>
            <w:vAlign w:val="center"/>
          </w:tcPr>
          <w:p w14:paraId="7503FF56" w14:textId="748806BD" w:rsidR="00F54322" w:rsidRPr="00BB36A5" w:rsidRDefault="00DF0AB9" w:rsidP="00342E9E">
            <w:pPr>
              <w:pStyle w:val="ListParagraph"/>
              <w:numPr>
                <w:ilvl w:val="0"/>
                <w:numId w:val="4"/>
              </w:numPr>
              <w:rPr>
                <w:rFonts w:asciiTheme="majorHAnsi" w:hAnsiTheme="majorHAnsi" w:cstheme="majorHAnsi"/>
                <w:lang w:val="es-PR"/>
              </w:rPr>
            </w:pPr>
            <w:r w:rsidRPr="00BB36A5">
              <w:rPr>
                <w:rFonts w:asciiTheme="majorHAnsi" w:hAnsiTheme="majorHAnsi" w:cstheme="majorHAnsi"/>
                <w:lang w:val="es-PR"/>
              </w:rPr>
              <w:t>Un problema de control interno potencial o real o una oportunidad para fortalecer el sistema de controles internos</w:t>
            </w:r>
          </w:p>
        </w:tc>
      </w:tr>
      <w:tr w:rsidR="00F54322" w:rsidRPr="00BB36A5" w14:paraId="7BAE1CC8" w14:textId="77777777" w:rsidTr="001B50CE">
        <w:tc>
          <w:tcPr>
            <w:tcW w:w="2250" w:type="dxa"/>
            <w:tcBorders>
              <w:top w:val="single" w:sz="12" w:space="0" w:color="auto"/>
              <w:bottom w:val="single" w:sz="4" w:space="0" w:color="auto"/>
            </w:tcBorders>
          </w:tcPr>
          <w:p w14:paraId="5EEE540D" w14:textId="6046668B" w:rsidR="00F54322" w:rsidRPr="00BB36A5" w:rsidRDefault="00DF0AB9" w:rsidP="00A774EE">
            <w:pPr>
              <w:rPr>
                <w:rFonts w:asciiTheme="majorHAnsi" w:hAnsiTheme="majorHAnsi" w:cstheme="majorHAnsi"/>
              </w:rPr>
            </w:pPr>
            <w:proofErr w:type="spellStart"/>
            <w:r w:rsidRPr="00BB36A5">
              <w:rPr>
                <w:rFonts w:asciiTheme="majorHAnsi" w:hAnsiTheme="majorHAnsi" w:cstheme="majorHAnsi"/>
              </w:rPr>
              <w:t>Acciones</w:t>
            </w:r>
            <w:proofErr w:type="spellEnd"/>
            <w:r w:rsidRPr="00BB36A5">
              <w:rPr>
                <w:rFonts w:asciiTheme="majorHAnsi" w:hAnsiTheme="majorHAnsi" w:cstheme="majorHAnsi"/>
              </w:rPr>
              <w:t xml:space="preserve"> </w:t>
            </w:r>
            <w:proofErr w:type="spellStart"/>
            <w:r w:rsidRPr="00BB36A5">
              <w:rPr>
                <w:rFonts w:asciiTheme="majorHAnsi" w:hAnsiTheme="majorHAnsi" w:cstheme="majorHAnsi"/>
              </w:rPr>
              <w:t>Correctivas</w:t>
            </w:r>
            <w:proofErr w:type="spellEnd"/>
          </w:p>
        </w:tc>
        <w:tc>
          <w:tcPr>
            <w:tcW w:w="7740" w:type="dxa"/>
            <w:tcBorders>
              <w:top w:val="single" w:sz="12" w:space="0" w:color="auto"/>
              <w:bottom w:val="single" w:sz="4" w:space="0" w:color="auto"/>
            </w:tcBorders>
          </w:tcPr>
          <w:p w14:paraId="4DBA35C8" w14:textId="5EE23680" w:rsidR="00F54322" w:rsidRPr="00BB36A5" w:rsidRDefault="00DF0AB9" w:rsidP="00342E9E">
            <w:pPr>
              <w:pStyle w:val="Default"/>
              <w:numPr>
                <w:ilvl w:val="0"/>
                <w:numId w:val="4"/>
              </w:numPr>
              <w:spacing w:after="9"/>
              <w:rPr>
                <w:rFonts w:asciiTheme="majorHAnsi" w:hAnsiTheme="majorHAnsi" w:cstheme="majorHAnsi"/>
                <w:color w:val="auto"/>
                <w:lang w:val="es-PR"/>
              </w:rPr>
            </w:pPr>
            <w:r w:rsidRPr="00BB36A5">
              <w:rPr>
                <w:rFonts w:asciiTheme="majorHAnsi" w:hAnsiTheme="majorHAnsi" w:cstheme="majorHAnsi"/>
                <w:color w:val="auto"/>
                <w:lang w:val="es-PR"/>
              </w:rPr>
              <w:t>Elemento de acción planificado por la gerencia para corregir las irregularidades de controles internos identificadas en un plazo de tiempo específico</w:t>
            </w:r>
          </w:p>
        </w:tc>
      </w:tr>
    </w:tbl>
    <w:p w14:paraId="619330C5" w14:textId="77777777" w:rsidR="00F54322" w:rsidRPr="00BB36A5" w:rsidRDefault="00F54322" w:rsidP="009F1618">
      <w:pPr>
        <w:pStyle w:val="Default"/>
        <w:spacing w:after="9"/>
        <w:jc w:val="both"/>
        <w:rPr>
          <w:rFonts w:asciiTheme="majorHAnsi" w:hAnsiTheme="majorHAnsi" w:cstheme="majorHAnsi"/>
          <w:b/>
          <w:color w:val="000000" w:themeColor="text1"/>
          <w:lang w:val="es-PR"/>
        </w:rPr>
      </w:pPr>
    </w:p>
    <w:p w14:paraId="107C05B1" w14:textId="6EB0FFF0" w:rsidR="002C4B42" w:rsidRPr="00BB36A5" w:rsidRDefault="00472D03" w:rsidP="0059178F">
      <w:pPr>
        <w:pStyle w:val="Heading4"/>
        <w:rPr>
          <w:rFonts w:cstheme="majorHAnsi"/>
          <w:i w:val="0"/>
          <w:iCs w:val="0"/>
          <w:lang w:val="es-PR"/>
        </w:rPr>
      </w:pPr>
      <w:r w:rsidRPr="00BB36A5">
        <w:rPr>
          <w:rFonts w:cstheme="majorHAnsi"/>
          <w:i w:val="0"/>
          <w:iCs w:val="0"/>
          <w:lang w:val="es-PR"/>
        </w:rPr>
        <w:t>Estructura de Monitoria</w:t>
      </w:r>
      <w:r w:rsidR="002C4B42" w:rsidRPr="00BB36A5">
        <w:rPr>
          <w:rFonts w:cstheme="majorHAnsi"/>
          <w:i w:val="0"/>
          <w:iCs w:val="0"/>
          <w:lang w:val="es-PR"/>
        </w:rPr>
        <w:t xml:space="preserve"> &amp; Re</w:t>
      </w:r>
      <w:r w:rsidRPr="00BB36A5">
        <w:rPr>
          <w:rFonts w:cstheme="majorHAnsi"/>
          <w:i w:val="0"/>
          <w:iCs w:val="0"/>
          <w:lang w:val="es-PR"/>
        </w:rPr>
        <w:t>cursos</w:t>
      </w:r>
    </w:p>
    <w:p w14:paraId="528ECF83" w14:textId="101B0467" w:rsidR="00C46D59" w:rsidRPr="00BB36A5" w:rsidRDefault="00C46D59" w:rsidP="002C4B42">
      <w:pPr>
        <w:pStyle w:val="Default"/>
        <w:spacing w:after="9"/>
        <w:jc w:val="both"/>
        <w:rPr>
          <w:rFonts w:asciiTheme="majorHAnsi" w:hAnsiTheme="majorHAnsi" w:cstheme="majorHAnsi"/>
          <w:i/>
          <w:iCs/>
          <w:color w:val="000000" w:themeColor="text1"/>
          <w:lang w:val="es-PR"/>
        </w:rPr>
      </w:pPr>
      <w:r w:rsidRPr="00BB36A5">
        <w:rPr>
          <w:rFonts w:asciiTheme="majorHAnsi" w:hAnsiTheme="majorHAnsi" w:cstheme="majorHAnsi"/>
          <w:color w:val="000000" w:themeColor="text1"/>
          <w:lang w:val="es-PR"/>
        </w:rPr>
        <w:t xml:space="preserve">Con el fin de supervisar la utilización, manejo y el control físico de los bienes y/o servicios adquiridos bajo 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el </w:t>
      </w:r>
      <w:r w:rsidR="0040485D" w:rsidRPr="00BB36A5">
        <w:rPr>
          <w:rFonts w:asciiTheme="majorHAnsi" w:hAnsiTheme="majorHAnsi" w:cstheme="majorHAnsi"/>
          <w:color w:val="000000" w:themeColor="text1"/>
          <w:lang w:val="es-PR"/>
        </w:rPr>
        <w:t>DEPR ha</w:t>
      </w:r>
      <w:r w:rsidRPr="00BB36A5">
        <w:rPr>
          <w:rFonts w:asciiTheme="majorHAnsi" w:hAnsiTheme="majorHAnsi" w:cstheme="majorHAnsi"/>
          <w:color w:val="000000" w:themeColor="text1"/>
          <w:lang w:val="es-PR"/>
        </w:rPr>
        <w:t xml:space="preserve"> implementado un programa de monitoreo específico. La SAAF, tendrá el siguiente personal para lidera</w:t>
      </w:r>
      <w:r w:rsidR="00BB510A" w:rsidRPr="00BB36A5">
        <w:rPr>
          <w:rFonts w:asciiTheme="majorHAnsi" w:hAnsiTheme="majorHAnsi" w:cstheme="majorHAnsi"/>
          <w:color w:val="000000" w:themeColor="text1"/>
          <w:lang w:val="es-PR"/>
        </w:rPr>
        <w:t>r</w:t>
      </w:r>
      <w:r w:rsidRPr="00BB36A5">
        <w:rPr>
          <w:rFonts w:asciiTheme="majorHAnsi" w:hAnsiTheme="majorHAnsi" w:cstheme="majorHAnsi"/>
          <w:color w:val="000000" w:themeColor="text1"/>
          <w:lang w:val="es-PR"/>
        </w:rPr>
        <w:t xml:space="preserve"> la </w:t>
      </w:r>
      <w:r w:rsidR="00BB510A" w:rsidRPr="00BB36A5">
        <w:rPr>
          <w:rFonts w:asciiTheme="majorHAnsi" w:hAnsiTheme="majorHAnsi" w:cstheme="majorHAnsi"/>
          <w:color w:val="000000" w:themeColor="text1"/>
          <w:lang w:val="es-PR"/>
        </w:rPr>
        <w:t>supervisión y el manejo</w:t>
      </w:r>
      <w:r w:rsidRPr="00BB36A5">
        <w:rPr>
          <w:rFonts w:asciiTheme="majorHAnsi" w:hAnsiTheme="majorHAnsi" w:cstheme="majorHAnsi"/>
          <w:color w:val="000000" w:themeColor="text1"/>
          <w:lang w:val="es-PR"/>
        </w:rPr>
        <w:t xml:space="preserve"> de la subvención </w:t>
      </w:r>
      <w:r w:rsidR="00BB510A" w:rsidRPr="00BB36A5">
        <w:rPr>
          <w:rFonts w:asciiTheme="majorHAnsi" w:hAnsiTheme="majorHAnsi" w:cstheme="majorHAnsi"/>
          <w:color w:val="000000" w:themeColor="text1"/>
          <w:lang w:val="es-PR"/>
        </w:rPr>
        <w:t xml:space="preserve">de los fondos del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p>
    <w:p w14:paraId="084A3673" w14:textId="77777777" w:rsidR="002C4B42" w:rsidRPr="00BB36A5" w:rsidRDefault="002C4B42" w:rsidP="00C94C4C">
      <w:pPr>
        <w:pStyle w:val="Default"/>
        <w:spacing w:after="9"/>
        <w:jc w:val="both"/>
        <w:rPr>
          <w:rFonts w:asciiTheme="majorHAnsi" w:hAnsiTheme="majorHAnsi" w:cstheme="majorHAnsi"/>
          <w:color w:val="FF0000"/>
          <w:lang w:val="es-PR"/>
        </w:rPr>
      </w:pPr>
    </w:p>
    <w:p w14:paraId="533274A8" w14:textId="26CBB939" w:rsidR="009E6983" w:rsidRPr="00BB36A5" w:rsidRDefault="00C94C4C" w:rsidP="009E6983">
      <w:pPr>
        <w:pStyle w:val="Heading3"/>
        <w:rPr>
          <w:rFonts w:eastAsiaTheme="minorEastAsia" w:cstheme="majorHAnsi"/>
          <w:color w:val="FF0000"/>
          <w:lang w:val="es-PR"/>
        </w:rPr>
      </w:pPr>
      <w:r w:rsidRPr="00BB36A5">
        <w:rPr>
          <w:rFonts w:eastAsiaTheme="minorEastAsia" w:cstheme="majorHAnsi"/>
          <w:color w:val="auto"/>
          <w:lang w:val="es-PR"/>
        </w:rPr>
        <w:t>Funciones y responsabilidades individuales de la subvención: En la siguiente tabla se desglosa el personal del programa y sus responsabilidades principales.</w:t>
      </w:r>
    </w:p>
    <w:p w14:paraId="3E020060" w14:textId="77777777" w:rsidR="003B0CC2" w:rsidRPr="00BB36A5" w:rsidRDefault="003B0CC2" w:rsidP="003B0CC2">
      <w:pPr>
        <w:rPr>
          <w:rFonts w:asciiTheme="majorHAnsi" w:hAnsiTheme="majorHAnsi" w:cstheme="majorHAnsi"/>
          <w:lang w:val="es-PR"/>
        </w:rPr>
      </w:pPr>
    </w:p>
    <w:tbl>
      <w:tblPr>
        <w:tblStyle w:val="TableGrid"/>
        <w:tblW w:w="10378" w:type="dxa"/>
        <w:tblInd w:w="-5" w:type="dxa"/>
        <w:tblLook w:val="04A0" w:firstRow="1" w:lastRow="0" w:firstColumn="1" w:lastColumn="0" w:noHBand="0" w:noVBand="1"/>
      </w:tblPr>
      <w:tblGrid>
        <w:gridCol w:w="4759"/>
        <w:gridCol w:w="5619"/>
      </w:tblGrid>
      <w:tr w:rsidR="003B0CC2" w:rsidRPr="00BB36A5" w14:paraId="5D2E141E" w14:textId="77777777" w:rsidTr="003B0CC2">
        <w:trPr>
          <w:trHeight w:val="276"/>
          <w:tblHeader/>
        </w:trPr>
        <w:tc>
          <w:tcPr>
            <w:tcW w:w="4759" w:type="dxa"/>
            <w:shd w:val="clear" w:color="auto" w:fill="B4C6E7" w:themeFill="accent1" w:themeFillTint="66"/>
            <w:vAlign w:val="center"/>
          </w:tcPr>
          <w:p w14:paraId="51B22B52" w14:textId="5B3EFB02" w:rsidR="003B0CC2" w:rsidRPr="00BB36A5" w:rsidRDefault="003B0CC2" w:rsidP="009E6983">
            <w:pPr>
              <w:pStyle w:val="ListParagraph"/>
              <w:ind w:left="0"/>
              <w:jc w:val="center"/>
              <w:rPr>
                <w:rFonts w:asciiTheme="majorHAnsi" w:eastAsiaTheme="minorEastAsia" w:hAnsiTheme="majorHAnsi" w:cstheme="majorHAnsi"/>
                <w:b/>
                <w:bCs/>
                <w:lang w:val="es-PR"/>
              </w:rPr>
            </w:pPr>
            <w:r w:rsidRPr="00BB36A5">
              <w:rPr>
                <w:rFonts w:asciiTheme="majorHAnsi" w:eastAsiaTheme="minorEastAsia" w:hAnsiTheme="majorHAnsi" w:cstheme="majorHAnsi"/>
                <w:b/>
                <w:bCs/>
              </w:rPr>
              <w:t>N</w:t>
            </w:r>
            <w:r w:rsidR="00472D03" w:rsidRPr="00BB36A5">
              <w:rPr>
                <w:rFonts w:asciiTheme="majorHAnsi" w:eastAsiaTheme="minorEastAsia" w:hAnsiTheme="majorHAnsi" w:cstheme="majorHAnsi"/>
                <w:b/>
                <w:bCs/>
              </w:rPr>
              <w:t>ombre</w:t>
            </w:r>
          </w:p>
        </w:tc>
        <w:tc>
          <w:tcPr>
            <w:tcW w:w="5619" w:type="dxa"/>
            <w:shd w:val="clear" w:color="auto" w:fill="B4C6E7" w:themeFill="accent1" w:themeFillTint="66"/>
            <w:vAlign w:val="center"/>
          </w:tcPr>
          <w:p w14:paraId="3B34BDE9" w14:textId="15771369" w:rsidR="003B0CC2" w:rsidRPr="00BB36A5" w:rsidRDefault="00EF3FEB" w:rsidP="009E6983">
            <w:pPr>
              <w:pStyle w:val="ListParagraph"/>
              <w:ind w:left="0"/>
              <w:jc w:val="center"/>
              <w:rPr>
                <w:rFonts w:asciiTheme="majorHAnsi" w:eastAsiaTheme="minorEastAsia" w:hAnsiTheme="majorHAnsi" w:cstheme="majorHAnsi"/>
                <w:b/>
                <w:bCs/>
              </w:rPr>
            </w:pPr>
            <w:r w:rsidRPr="00BB36A5">
              <w:rPr>
                <w:rFonts w:asciiTheme="majorHAnsi" w:eastAsiaTheme="minorEastAsia" w:hAnsiTheme="majorHAnsi" w:cstheme="majorHAnsi"/>
                <w:b/>
                <w:bCs/>
                <w:lang w:val="es-PR"/>
              </w:rPr>
              <w:t>Posición</w:t>
            </w:r>
          </w:p>
        </w:tc>
      </w:tr>
      <w:tr w:rsidR="003B0CC2" w:rsidRPr="00BB36A5" w14:paraId="6FFAD398" w14:textId="77777777" w:rsidTr="003B0CC2">
        <w:trPr>
          <w:trHeight w:val="547"/>
        </w:trPr>
        <w:tc>
          <w:tcPr>
            <w:tcW w:w="4759" w:type="dxa"/>
            <w:vAlign w:val="center"/>
          </w:tcPr>
          <w:p w14:paraId="4BC6BAB5" w14:textId="29C741A2" w:rsidR="003B0CC2" w:rsidRPr="00BB36A5" w:rsidRDefault="0095560B" w:rsidP="009E6983">
            <w:pPr>
              <w:pStyle w:val="ListParagraph"/>
              <w:ind w:left="0"/>
              <w:jc w:val="center"/>
              <w:rPr>
                <w:rFonts w:asciiTheme="majorHAnsi" w:eastAsiaTheme="minorEastAsia" w:hAnsiTheme="majorHAnsi" w:cstheme="majorHAnsi"/>
                <w:lang w:val="es-PR"/>
              </w:rPr>
            </w:pPr>
            <w:r w:rsidRPr="00BB36A5">
              <w:rPr>
                <w:rFonts w:asciiTheme="majorHAnsi" w:eastAsiaTheme="minorEastAsia" w:hAnsiTheme="majorHAnsi" w:cstheme="majorHAnsi"/>
                <w:lang w:val="es-PR"/>
              </w:rPr>
              <w:t>M</w:t>
            </w:r>
            <w:r w:rsidR="007C0631" w:rsidRPr="00BB36A5">
              <w:rPr>
                <w:rFonts w:asciiTheme="majorHAnsi" w:eastAsiaTheme="minorEastAsia" w:hAnsiTheme="majorHAnsi" w:cstheme="majorHAnsi"/>
                <w:lang w:val="es-PR"/>
              </w:rPr>
              <w:t>iguel A. Negrón</w:t>
            </w:r>
          </w:p>
        </w:tc>
        <w:tc>
          <w:tcPr>
            <w:tcW w:w="5619" w:type="dxa"/>
            <w:vAlign w:val="center"/>
          </w:tcPr>
          <w:p w14:paraId="21F59C9B" w14:textId="6984B308" w:rsidR="003B0CC2" w:rsidRPr="00BB36A5" w:rsidRDefault="00472D03"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Secretari</w:t>
            </w:r>
            <w:r w:rsidR="007C0631" w:rsidRPr="00BB36A5">
              <w:rPr>
                <w:rFonts w:asciiTheme="majorHAnsi" w:eastAsiaTheme="minorEastAsia" w:hAnsiTheme="majorHAnsi" w:cstheme="majorHAnsi"/>
              </w:rPr>
              <w:t>o</w:t>
            </w:r>
            <w:proofErr w:type="spellEnd"/>
            <w:r w:rsidRPr="00BB36A5">
              <w:rPr>
                <w:rFonts w:asciiTheme="majorHAnsi" w:eastAsiaTheme="minorEastAsia" w:hAnsiTheme="majorHAnsi" w:cstheme="majorHAnsi"/>
              </w:rPr>
              <w:t xml:space="preserve"> Auxiliar</w:t>
            </w:r>
          </w:p>
        </w:tc>
      </w:tr>
      <w:tr w:rsidR="003B0CC2" w:rsidRPr="00BB36A5" w14:paraId="08103389" w14:textId="77777777" w:rsidTr="003B0CC2">
        <w:trPr>
          <w:trHeight w:val="602"/>
        </w:trPr>
        <w:tc>
          <w:tcPr>
            <w:tcW w:w="4759" w:type="dxa"/>
            <w:vAlign w:val="center"/>
          </w:tcPr>
          <w:p w14:paraId="0494668F" w14:textId="202A27B2" w:rsidR="003B0CC2" w:rsidRPr="00BB36A5" w:rsidRDefault="0095560B"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Edgar Delgado</w:t>
            </w:r>
          </w:p>
        </w:tc>
        <w:tc>
          <w:tcPr>
            <w:tcW w:w="5619" w:type="dxa"/>
            <w:vAlign w:val="center"/>
          </w:tcPr>
          <w:p w14:paraId="4C2F24A3" w14:textId="1141986A" w:rsidR="003B0CC2" w:rsidRPr="00BB36A5" w:rsidRDefault="003B0CC2"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Coordina</w:t>
            </w:r>
            <w:r w:rsidR="00472D03" w:rsidRPr="00BB36A5">
              <w:rPr>
                <w:rFonts w:asciiTheme="majorHAnsi" w:eastAsiaTheme="minorEastAsia" w:hAnsiTheme="majorHAnsi" w:cstheme="majorHAnsi"/>
              </w:rPr>
              <w:t>d</w:t>
            </w:r>
            <w:r w:rsidRPr="00BB36A5">
              <w:rPr>
                <w:rFonts w:asciiTheme="majorHAnsi" w:eastAsiaTheme="minorEastAsia" w:hAnsiTheme="majorHAnsi" w:cstheme="majorHAnsi"/>
              </w:rPr>
              <w:t>or</w:t>
            </w:r>
            <w:proofErr w:type="spellEnd"/>
          </w:p>
        </w:tc>
      </w:tr>
      <w:tr w:rsidR="003B0CC2" w:rsidRPr="00BB36A5" w14:paraId="7FEC20DE" w14:textId="77777777" w:rsidTr="003B0CC2">
        <w:trPr>
          <w:trHeight w:val="620"/>
        </w:trPr>
        <w:tc>
          <w:tcPr>
            <w:tcW w:w="4759" w:type="dxa"/>
            <w:vAlign w:val="center"/>
          </w:tcPr>
          <w:p w14:paraId="7095BC8C" w14:textId="7CC9A3E1" w:rsidR="003B0CC2" w:rsidRPr="00BB36A5" w:rsidRDefault="0095560B"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Vacante</w:t>
            </w:r>
          </w:p>
        </w:tc>
        <w:tc>
          <w:tcPr>
            <w:tcW w:w="5619" w:type="dxa"/>
            <w:vAlign w:val="center"/>
          </w:tcPr>
          <w:p w14:paraId="3B6F4663" w14:textId="3A900DB0" w:rsidR="003B0CC2" w:rsidRPr="00BB36A5" w:rsidRDefault="00472D03"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Oficial</w:t>
            </w:r>
            <w:proofErr w:type="spellEnd"/>
            <w:r w:rsidRPr="00BB36A5">
              <w:rPr>
                <w:rFonts w:asciiTheme="majorHAnsi" w:eastAsiaTheme="minorEastAsia" w:hAnsiTheme="majorHAnsi" w:cstheme="majorHAnsi"/>
              </w:rPr>
              <w:t xml:space="preserve"> del </w:t>
            </w:r>
            <w:proofErr w:type="spellStart"/>
            <w:r w:rsidRPr="00BB36A5">
              <w:rPr>
                <w:rFonts w:asciiTheme="majorHAnsi" w:eastAsiaTheme="minorEastAsia" w:hAnsiTheme="majorHAnsi" w:cstheme="majorHAnsi"/>
              </w:rPr>
              <w:t>Programa</w:t>
            </w:r>
            <w:proofErr w:type="spellEnd"/>
          </w:p>
        </w:tc>
      </w:tr>
      <w:tr w:rsidR="003B0CC2" w:rsidRPr="00BB36A5" w14:paraId="126CFAE6" w14:textId="77777777" w:rsidTr="003B0CC2">
        <w:trPr>
          <w:trHeight w:val="620"/>
        </w:trPr>
        <w:tc>
          <w:tcPr>
            <w:tcW w:w="4759" w:type="dxa"/>
            <w:vAlign w:val="center"/>
          </w:tcPr>
          <w:p w14:paraId="20B5D0D9" w14:textId="2586D988" w:rsidR="003B0CC2" w:rsidRPr="00BB36A5" w:rsidRDefault="006A773F"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w:t>
            </w:r>
            <w:r w:rsidR="00472D03" w:rsidRPr="00BB36A5">
              <w:rPr>
                <w:rFonts w:asciiTheme="majorHAnsi" w:eastAsiaTheme="minorEastAsia" w:hAnsiTheme="majorHAnsi" w:cstheme="majorHAnsi"/>
              </w:rPr>
              <w:t>e</w:t>
            </w:r>
          </w:p>
        </w:tc>
        <w:tc>
          <w:tcPr>
            <w:tcW w:w="5619" w:type="dxa"/>
            <w:vAlign w:val="center"/>
          </w:tcPr>
          <w:p w14:paraId="7A19D365" w14:textId="0D607A20" w:rsidR="003B0CC2" w:rsidRPr="00BB36A5" w:rsidRDefault="00472D03"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L</w:t>
            </w:r>
            <w:r w:rsidR="006E2B36" w:rsidRPr="00BB36A5">
              <w:rPr>
                <w:rFonts w:asciiTheme="majorHAnsi" w:eastAsiaTheme="minorEastAsia" w:hAnsiTheme="majorHAnsi" w:cstheme="majorHAnsi"/>
              </w:rPr>
              <w:t>í</w:t>
            </w:r>
            <w:r w:rsidRPr="00BB36A5">
              <w:rPr>
                <w:rFonts w:asciiTheme="majorHAnsi" w:eastAsiaTheme="minorEastAsia" w:hAnsiTheme="majorHAnsi" w:cstheme="majorHAnsi"/>
              </w:rPr>
              <w:t>der</w:t>
            </w:r>
            <w:proofErr w:type="spellEnd"/>
            <w:r w:rsidRPr="00BB36A5">
              <w:rPr>
                <w:rFonts w:asciiTheme="majorHAnsi" w:eastAsiaTheme="minorEastAsia" w:hAnsiTheme="majorHAnsi" w:cstheme="majorHAnsi"/>
              </w:rPr>
              <w:t xml:space="preserve">/Principal de </w:t>
            </w:r>
            <w:proofErr w:type="spellStart"/>
            <w:r w:rsidRPr="00BB36A5">
              <w:rPr>
                <w:rFonts w:asciiTheme="majorHAnsi" w:eastAsiaTheme="minorEastAsia" w:hAnsiTheme="majorHAnsi" w:cstheme="majorHAnsi"/>
              </w:rPr>
              <w:t>Cumplimiento</w:t>
            </w:r>
            <w:proofErr w:type="spellEnd"/>
          </w:p>
        </w:tc>
      </w:tr>
      <w:tr w:rsidR="003B0CC2" w:rsidRPr="00BB36A5" w14:paraId="236B22E3" w14:textId="77777777" w:rsidTr="003B0CC2">
        <w:trPr>
          <w:trHeight w:val="602"/>
        </w:trPr>
        <w:tc>
          <w:tcPr>
            <w:tcW w:w="4759" w:type="dxa"/>
            <w:vAlign w:val="center"/>
          </w:tcPr>
          <w:p w14:paraId="79E1F6BC" w14:textId="77777777" w:rsidR="003B0CC2" w:rsidRPr="00BB36A5" w:rsidRDefault="003B0CC2"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Héctor Díaz</w:t>
            </w:r>
          </w:p>
        </w:tc>
        <w:tc>
          <w:tcPr>
            <w:tcW w:w="5619" w:type="dxa"/>
            <w:vAlign w:val="center"/>
          </w:tcPr>
          <w:p w14:paraId="6CC37870" w14:textId="795F37CD" w:rsidR="003B0CC2" w:rsidRPr="00BB36A5" w:rsidRDefault="00472D03"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Oficial</w:t>
            </w:r>
            <w:proofErr w:type="spellEnd"/>
            <w:r w:rsidRPr="00BB36A5">
              <w:rPr>
                <w:rFonts w:asciiTheme="majorHAnsi" w:eastAsiaTheme="minorEastAsia" w:hAnsiTheme="majorHAnsi" w:cstheme="majorHAnsi"/>
              </w:rPr>
              <w:t xml:space="preserve"> Fiscal</w:t>
            </w:r>
          </w:p>
        </w:tc>
      </w:tr>
      <w:tr w:rsidR="003B0CC2" w:rsidRPr="00BB36A5" w14:paraId="1A20A3A7" w14:textId="77777777" w:rsidTr="003B0CC2">
        <w:trPr>
          <w:trHeight w:val="620"/>
        </w:trPr>
        <w:tc>
          <w:tcPr>
            <w:tcW w:w="4759" w:type="dxa"/>
            <w:vAlign w:val="center"/>
          </w:tcPr>
          <w:p w14:paraId="60262B90" w14:textId="77777777" w:rsidR="003B0CC2" w:rsidRPr="00BB36A5" w:rsidRDefault="003B0CC2"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Ana López</w:t>
            </w:r>
          </w:p>
        </w:tc>
        <w:tc>
          <w:tcPr>
            <w:tcW w:w="5619" w:type="dxa"/>
            <w:vAlign w:val="center"/>
          </w:tcPr>
          <w:p w14:paraId="33622FFF" w14:textId="117F182C" w:rsidR="003B0CC2" w:rsidRPr="00BB36A5" w:rsidRDefault="003B0CC2"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A</w:t>
            </w:r>
            <w:r w:rsidR="00472D03" w:rsidRPr="00BB36A5">
              <w:rPr>
                <w:rFonts w:asciiTheme="majorHAnsi" w:eastAsiaTheme="minorEastAsia" w:hAnsiTheme="majorHAnsi" w:cstheme="majorHAnsi"/>
              </w:rPr>
              <w:t>sistente</w:t>
            </w:r>
            <w:proofErr w:type="spellEnd"/>
            <w:r w:rsidR="00472D03" w:rsidRPr="00BB36A5">
              <w:rPr>
                <w:rFonts w:asciiTheme="majorHAnsi" w:eastAsiaTheme="minorEastAsia" w:hAnsiTheme="majorHAnsi" w:cstheme="majorHAnsi"/>
              </w:rPr>
              <w:t xml:space="preserve"> </w:t>
            </w:r>
            <w:proofErr w:type="spellStart"/>
            <w:r w:rsidR="00472D03" w:rsidRPr="00BB36A5">
              <w:rPr>
                <w:rFonts w:asciiTheme="majorHAnsi" w:eastAsiaTheme="minorEastAsia" w:hAnsiTheme="majorHAnsi" w:cstheme="majorHAnsi"/>
              </w:rPr>
              <w:t>Administrativo</w:t>
            </w:r>
            <w:proofErr w:type="spellEnd"/>
            <w:r w:rsidRPr="00BB36A5">
              <w:rPr>
                <w:rFonts w:asciiTheme="majorHAnsi" w:eastAsiaTheme="minorEastAsia" w:hAnsiTheme="majorHAnsi" w:cstheme="majorHAnsi"/>
              </w:rPr>
              <w:t xml:space="preserve"> III</w:t>
            </w:r>
          </w:p>
        </w:tc>
      </w:tr>
      <w:tr w:rsidR="003B0CC2" w:rsidRPr="00BB36A5" w14:paraId="0CBB3150" w14:textId="77777777" w:rsidTr="003B0CC2">
        <w:trPr>
          <w:trHeight w:val="638"/>
        </w:trPr>
        <w:tc>
          <w:tcPr>
            <w:tcW w:w="4759" w:type="dxa"/>
            <w:vAlign w:val="center"/>
          </w:tcPr>
          <w:p w14:paraId="7132EF31" w14:textId="0CBF64B3" w:rsidR="003B0CC2" w:rsidRPr="00BB36A5" w:rsidRDefault="006A773F"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Vacant</w:t>
            </w:r>
            <w:r w:rsidR="00472D03" w:rsidRPr="00BB36A5">
              <w:rPr>
                <w:rFonts w:asciiTheme="majorHAnsi" w:eastAsiaTheme="minorEastAsia" w:hAnsiTheme="majorHAnsi" w:cstheme="majorHAnsi"/>
              </w:rPr>
              <w:t>e</w:t>
            </w:r>
          </w:p>
        </w:tc>
        <w:tc>
          <w:tcPr>
            <w:tcW w:w="5619" w:type="dxa"/>
            <w:vAlign w:val="center"/>
          </w:tcPr>
          <w:p w14:paraId="4A0F2D7A" w14:textId="2CF34C35" w:rsidR="003B0CC2" w:rsidRPr="00BB36A5" w:rsidRDefault="003B0CC2" w:rsidP="009E6983">
            <w:pPr>
              <w:pStyle w:val="ListParagraph"/>
              <w:ind w:left="0"/>
              <w:jc w:val="center"/>
              <w:rPr>
                <w:rFonts w:asciiTheme="majorHAnsi" w:eastAsiaTheme="minorEastAsia" w:hAnsiTheme="majorHAnsi" w:cstheme="majorHAnsi"/>
              </w:rPr>
            </w:pPr>
            <w:proofErr w:type="spellStart"/>
            <w:r w:rsidRPr="00BB36A5">
              <w:rPr>
                <w:rFonts w:asciiTheme="majorHAnsi" w:eastAsiaTheme="minorEastAsia" w:hAnsiTheme="majorHAnsi" w:cstheme="majorHAnsi"/>
              </w:rPr>
              <w:t>A</w:t>
            </w:r>
            <w:r w:rsidR="00472D03" w:rsidRPr="00BB36A5">
              <w:rPr>
                <w:rFonts w:asciiTheme="majorHAnsi" w:eastAsiaTheme="minorEastAsia" w:hAnsiTheme="majorHAnsi" w:cstheme="majorHAnsi"/>
              </w:rPr>
              <w:t>sistente</w:t>
            </w:r>
            <w:proofErr w:type="spellEnd"/>
            <w:r w:rsidR="00472D03" w:rsidRPr="00BB36A5">
              <w:rPr>
                <w:rFonts w:asciiTheme="majorHAnsi" w:eastAsiaTheme="minorEastAsia" w:hAnsiTheme="majorHAnsi" w:cstheme="majorHAnsi"/>
              </w:rPr>
              <w:t xml:space="preserve"> </w:t>
            </w:r>
            <w:proofErr w:type="spellStart"/>
            <w:r w:rsidR="00472D03" w:rsidRPr="00BB36A5">
              <w:rPr>
                <w:rFonts w:asciiTheme="majorHAnsi" w:eastAsiaTheme="minorEastAsia" w:hAnsiTheme="majorHAnsi" w:cstheme="majorHAnsi"/>
              </w:rPr>
              <w:t>Administrativo</w:t>
            </w:r>
            <w:proofErr w:type="spellEnd"/>
            <w:r w:rsidRPr="00BB36A5">
              <w:rPr>
                <w:rFonts w:asciiTheme="majorHAnsi" w:eastAsiaTheme="minorEastAsia" w:hAnsiTheme="majorHAnsi" w:cstheme="majorHAnsi"/>
              </w:rPr>
              <w:t xml:space="preserve"> II</w:t>
            </w:r>
          </w:p>
        </w:tc>
      </w:tr>
      <w:tr w:rsidR="0095560B" w:rsidRPr="00BB36A5" w14:paraId="10260563" w14:textId="77777777" w:rsidTr="003B0CC2">
        <w:trPr>
          <w:trHeight w:val="638"/>
        </w:trPr>
        <w:tc>
          <w:tcPr>
            <w:tcW w:w="4759" w:type="dxa"/>
            <w:vAlign w:val="center"/>
          </w:tcPr>
          <w:p w14:paraId="0BF7641A" w14:textId="1720CAF7" w:rsidR="0095560B" w:rsidRPr="00BB36A5" w:rsidRDefault="0095560B" w:rsidP="009E6983">
            <w:pPr>
              <w:pStyle w:val="ListParagraph"/>
              <w:ind w:left="0"/>
              <w:jc w:val="center"/>
              <w:rPr>
                <w:rFonts w:asciiTheme="majorHAnsi" w:eastAsiaTheme="minorEastAsia" w:hAnsiTheme="majorHAnsi" w:cstheme="majorHAnsi"/>
              </w:rPr>
            </w:pPr>
            <w:r w:rsidRPr="00BB36A5">
              <w:rPr>
                <w:rFonts w:asciiTheme="majorHAnsi" w:eastAsiaTheme="minorEastAsia" w:hAnsiTheme="majorHAnsi" w:cstheme="majorHAnsi"/>
              </w:rPr>
              <w:t>Denise Mattei</w:t>
            </w:r>
          </w:p>
        </w:tc>
        <w:tc>
          <w:tcPr>
            <w:tcW w:w="5619" w:type="dxa"/>
            <w:vAlign w:val="center"/>
          </w:tcPr>
          <w:p w14:paraId="2CC802F4" w14:textId="2B300A2F" w:rsidR="0095560B" w:rsidRPr="00BB36A5" w:rsidRDefault="0095560B" w:rsidP="009E6983">
            <w:pPr>
              <w:pStyle w:val="ListParagraph"/>
              <w:ind w:left="0"/>
              <w:jc w:val="center"/>
              <w:rPr>
                <w:rFonts w:asciiTheme="majorHAnsi" w:eastAsiaTheme="minorEastAsia" w:hAnsiTheme="majorHAnsi" w:cstheme="majorHAnsi"/>
                <w:lang w:val="es-PR"/>
              </w:rPr>
            </w:pPr>
            <w:r w:rsidRPr="00BB36A5">
              <w:rPr>
                <w:rFonts w:asciiTheme="majorHAnsi" w:eastAsiaTheme="minorEastAsia" w:hAnsiTheme="majorHAnsi" w:cstheme="majorHAnsi"/>
                <w:lang w:val="es-PR"/>
              </w:rPr>
              <w:t xml:space="preserve">Coordinadora </w:t>
            </w:r>
            <w:r w:rsidR="00AE0C85" w:rsidRPr="00BB36A5">
              <w:rPr>
                <w:rFonts w:asciiTheme="majorHAnsi" w:eastAsiaTheme="minorEastAsia" w:hAnsiTheme="majorHAnsi" w:cstheme="majorHAnsi"/>
                <w:lang w:val="es-PR"/>
              </w:rPr>
              <w:t>División</w:t>
            </w:r>
            <w:r w:rsidRPr="00BB36A5">
              <w:rPr>
                <w:rFonts w:asciiTheme="majorHAnsi" w:eastAsiaTheme="minorEastAsia" w:hAnsiTheme="majorHAnsi" w:cstheme="majorHAnsi"/>
                <w:lang w:val="es-PR"/>
              </w:rPr>
              <w:t xml:space="preserve"> de Servicios Equitativos</w:t>
            </w:r>
          </w:p>
        </w:tc>
      </w:tr>
    </w:tbl>
    <w:p w14:paraId="73E813CD" w14:textId="77777777" w:rsidR="002C4B42" w:rsidRPr="00BB36A5" w:rsidRDefault="002C4B42" w:rsidP="002C4B42">
      <w:pPr>
        <w:pStyle w:val="Default"/>
        <w:spacing w:after="9"/>
        <w:ind w:firstLine="360"/>
        <w:jc w:val="both"/>
        <w:rPr>
          <w:rFonts w:asciiTheme="majorHAnsi" w:hAnsiTheme="majorHAnsi" w:cstheme="majorHAnsi"/>
          <w:color w:val="000000" w:themeColor="text1"/>
          <w:lang w:val="es-PR"/>
        </w:rPr>
      </w:pPr>
    </w:p>
    <w:p w14:paraId="78FE3497" w14:textId="0D0F0AD6" w:rsidR="00F639E5" w:rsidRPr="00BB36A5" w:rsidRDefault="00F639E5" w:rsidP="006C724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Es importante señalar que las 837 escuelas públicas solicitarán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 xml:space="preserve">a través de su plan escolar y la Iniciativa de </w:t>
      </w:r>
      <w:r w:rsidRPr="00BB36A5">
        <w:rPr>
          <w:rFonts w:asciiTheme="majorHAnsi" w:hAnsiTheme="majorHAnsi" w:cstheme="majorHAnsi"/>
          <w:i/>
          <w:iCs/>
          <w:color w:val="000000" w:themeColor="text1"/>
          <w:lang w:val="es-PR"/>
        </w:rPr>
        <w:t>Back2School</w:t>
      </w:r>
      <w:r w:rsidRPr="00BB36A5">
        <w:rPr>
          <w:rFonts w:asciiTheme="majorHAnsi" w:hAnsiTheme="majorHAnsi" w:cstheme="majorHAnsi"/>
          <w:color w:val="000000" w:themeColor="text1"/>
          <w:lang w:val="es-PR"/>
        </w:rPr>
        <w:t xml:space="preserve"> (este número no incluye las 19 escuelas que tienen estudiantes compartidos). </w:t>
      </w:r>
      <w:r w:rsidR="00632FE1" w:rsidRPr="00BB36A5">
        <w:rPr>
          <w:rFonts w:asciiTheme="majorHAnsi" w:hAnsiTheme="majorHAnsi" w:cstheme="majorHAnsi"/>
          <w:color w:val="000000" w:themeColor="text1"/>
          <w:lang w:val="es-PR"/>
        </w:rPr>
        <w:t>El DEPR</w:t>
      </w:r>
      <w:r w:rsidRPr="00BB36A5">
        <w:rPr>
          <w:rFonts w:asciiTheme="majorHAnsi" w:hAnsiTheme="majorHAnsi" w:cstheme="majorHAnsi"/>
          <w:color w:val="000000" w:themeColor="text1"/>
          <w:lang w:val="es-PR"/>
        </w:rPr>
        <w:t xml:space="preserve">, a través de </w:t>
      </w:r>
      <w:r w:rsidR="00632FE1" w:rsidRPr="00BB36A5">
        <w:rPr>
          <w:rFonts w:asciiTheme="majorHAnsi" w:hAnsiTheme="majorHAnsi" w:cstheme="majorHAnsi"/>
          <w:color w:val="000000" w:themeColor="text1"/>
          <w:lang w:val="es-PR"/>
        </w:rPr>
        <w:t>su</w:t>
      </w:r>
      <w:r w:rsidRPr="00BB36A5">
        <w:rPr>
          <w:rFonts w:asciiTheme="majorHAnsi" w:hAnsiTheme="majorHAnsi" w:cstheme="majorHAnsi"/>
          <w:color w:val="000000" w:themeColor="text1"/>
          <w:lang w:val="es-PR"/>
        </w:rPr>
        <w:t xml:space="preserve"> Unidad de Monitor</w:t>
      </w:r>
      <w:r w:rsidR="00632FE1"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w:t>
      </w:r>
      <w:r w:rsidR="00632FE1" w:rsidRPr="00BB36A5">
        <w:rPr>
          <w:rFonts w:asciiTheme="majorHAnsi" w:hAnsiTheme="majorHAnsi" w:cstheme="majorHAnsi"/>
          <w:color w:val="000000" w:themeColor="text1"/>
          <w:lang w:val="es-PR"/>
        </w:rPr>
        <w:t>adscrita a</w:t>
      </w:r>
      <w:r w:rsidRPr="00BB36A5">
        <w:rPr>
          <w:rFonts w:asciiTheme="majorHAnsi" w:hAnsiTheme="majorHAnsi" w:cstheme="majorHAnsi"/>
          <w:color w:val="000000" w:themeColor="text1"/>
          <w:lang w:val="es-PR"/>
        </w:rPr>
        <w:t xml:space="preserve"> </w:t>
      </w:r>
      <w:r w:rsidR="00632FE1" w:rsidRPr="00BB36A5">
        <w:rPr>
          <w:rFonts w:asciiTheme="majorHAnsi" w:hAnsiTheme="majorHAnsi" w:cstheme="majorHAnsi"/>
          <w:color w:val="000000" w:themeColor="text1"/>
          <w:lang w:val="es-PR"/>
        </w:rPr>
        <w:t>SAAF</w:t>
      </w:r>
      <w:r w:rsidRPr="00BB36A5">
        <w:rPr>
          <w:rFonts w:asciiTheme="majorHAnsi" w:hAnsiTheme="majorHAnsi" w:cstheme="majorHAnsi"/>
          <w:color w:val="000000" w:themeColor="text1"/>
          <w:lang w:val="es-PR"/>
        </w:rPr>
        <w:t xml:space="preserve">, monitoreará todas las escuelas para supervisar la implementación del plan escolar y validar a través de un contratista independiente una muestra representativa de </w:t>
      </w:r>
      <w:r w:rsidR="00A04D1E" w:rsidRPr="00BB36A5">
        <w:rPr>
          <w:rFonts w:asciiTheme="majorHAnsi" w:hAnsiTheme="majorHAnsi" w:cstheme="majorHAnsi"/>
          <w:color w:val="000000" w:themeColor="text1"/>
          <w:lang w:val="es-PR"/>
        </w:rPr>
        <w:t xml:space="preserve">dichas </w:t>
      </w:r>
      <w:r w:rsidRPr="00BB36A5">
        <w:rPr>
          <w:rFonts w:asciiTheme="majorHAnsi" w:hAnsiTheme="majorHAnsi" w:cstheme="majorHAnsi"/>
          <w:color w:val="000000" w:themeColor="text1"/>
          <w:lang w:val="es-PR"/>
        </w:rPr>
        <w:t xml:space="preserve">escuelas. Se </w:t>
      </w:r>
      <w:r w:rsidR="00A04D1E" w:rsidRPr="00BB36A5">
        <w:rPr>
          <w:rFonts w:asciiTheme="majorHAnsi" w:hAnsiTheme="majorHAnsi" w:cstheme="majorHAnsi"/>
          <w:color w:val="000000" w:themeColor="text1"/>
          <w:lang w:val="es-PR"/>
        </w:rPr>
        <w:t>creo</w:t>
      </w:r>
      <w:r w:rsidRPr="00BB36A5">
        <w:rPr>
          <w:rFonts w:asciiTheme="majorHAnsi" w:hAnsiTheme="majorHAnsi" w:cstheme="majorHAnsi"/>
          <w:color w:val="000000" w:themeColor="text1"/>
          <w:lang w:val="es-PR"/>
        </w:rPr>
        <w:t xml:space="preserve"> un calendario </w:t>
      </w:r>
      <w:r w:rsidR="00A04D1E" w:rsidRPr="00BB36A5">
        <w:rPr>
          <w:rFonts w:asciiTheme="majorHAnsi" w:hAnsiTheme="majorHAnsi" w:cstheme="majorHAnsi"/>
          <w:color w:val="000000" w:themeColor="text1"/>
          <w:lang w:val="es-PR"/>
        </w:rPr>
        <w:t xml:space="preserve">trimestral </w:t>
      </w:r>
      <w:r w:rsidRPr="00BB36A5">
        <w:rPr>
          <w:rFonts w:asciiTheme="majorHAnsi" w:hAnsiTheme="majorHAnsi" w:cstheme="majorHAnsi"/>
          <w:color w:val="000000" w:themeColor="text1"/>
          <w:lang w:val="es-PR"/>
        </w:rPr>
        <w:t>de monitor</w:t>
      </w:r>
      <w:r w:rsidR="00A04D1E"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para cada región para asegurar que estas escuelas están recibiendo el apoyo</w:t>
      </w:r>
      <w:r w:rsidR="00FE26FC" w:rsidRPr="00BB36A5">
        <w:rPr>
          <w:rFonts w:asciiTheme="majorHAnsi" w:hAnsiTheme="majorHAnsi" w:cstheme="majorHAnsi"/>
          <w:color w:val="000000" w:themeColor="text1"/>
          <w:lang w:val="es-PR"/>
        </w:rPr>
        <w:t xml:space="preserve"> necesario</w:t>
      </w:r>
      <w:r w:rsidRPr="00BB36A5">
        <w:rPr>
          <w:rFonts w:asciiTheme="majorHAnsi" w:hAnsiTheme="majorHAnsi" w:cstheme="majorHAnsi"/>
          <w:color w:val="000000" w:themeColor="text1"/>
          <w:lang w:val="es-PR"/>
        </w:rPr>
        <w:t xml:space="preserve"> para satisfacer las necesidades de sus estudiantes y que están administra</w:t>
      </w:r>
      <w:r w:rsidR="00FE26FC" w:rsidRPr="00BB36A5">
        <w:rPr>
          <w:rFonts w:asciiTheme="majorHAnsi" w:hAnsiTheme="majorHAnsi" w:cstheme="majorHAnsi"/>
          <w:color w:val="000000" w:themeColor="text1"/>
          <w:lang w:val="es-PR"/>
        </w:rPr>
        <w:t>ndo sus</w:t>
      </w:r>
      <w:r w:rsidRPr="00BB36A5">
        <w:rPr>
          <w:rFonts w:asciiTheme="majorHAnsi" w:hAnsiTheme="majorHAnsi" w:cstheme="majorHAnsi"/>
          <w:color w:val="000000" w:themeColor="text1"/>
          <w:lang w:val="es-PR"/>
        </w:rPr>
        <w:t xml:space="preserve"> fondos federales</w:t>
      </w:r>
      <w:r w:rsidR="00FE26FC" w:rsidRPr="00BB36A5">
        <w:rPr>
          <w:rFonts w:asciiTheme="majorHAnsi" w:hAnsiTheme="majorHAnsi" w:cstheme="majorHAnsi"/>
          <w:color w:val="000000" w:themeColor="text1"/>
          <w:lang w:val="es-PR"/>
        </w:rPr>
        <w:t xml:space="preserve"> de la mejor manera</w:t>
      </w:r>
      <w:r w:rsidRPr="00BB36A5">
        <w:rPr>
          <w:rFonts w:asciiTheme="majorHAnsi" w:hAnsiTheme="majorHAnsi" w:cstheme="majorHAnsi"/>
          <w:color w:val="000000" w:themeColor="text1"/>
          <w:lang w:val="es-PR"/>
        </w:rPr>
        <w:t>.</w:t>
      </w:r>
    </w:p>
    <w:p w14:paraId="7CD59350" w14:textId="77777777" w:rsidR="002C4B42" w:rsidRPr="00BB36A5" w:rsidRDefault="002C4B42" w:rsidP="002C4B42">
      <w:pPr>
        <w:pStyle w:val="Default"/>
        <w:spacing w:after="9"/>
        <w:jc w:val="both"/>
        <w:rPr>
          <w:rFonts w:asciiTheme="majorHAnsi" w:hAnsiTheme="majorHAnsi" w:cstheme="majorHAnsi"/>
          <w:color w:val="000000" w:themeColor="text1"/>
          <w:lang w:val="es-PR"/>
        </w:rPr>
      </w:pPr>
    </w:p>
    <w:p w14:paraId="28814E50" w14:textId="003BC4BD" w:rsidR="002C4B42" w:rsidRPr="00BB36A5" w:rsidRDefault="00FE26FC" w:rsidP="002C4B42">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Para efectos preliminares de monitoria</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el DEPR</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ha elaborado el siguiente calendario</w:t>
      </w:r>
      <w:r w:rsidR="0095560B" w:rsidRPr="00BB36A5">
        <w:rPr>
          <w:rFonts w:asciiTheme="majorHAnsi" w:hAnsiTheme="majorHAnsi" w:cstheme="majorHAnsi"/>
          <w:color w:val="000000" w:themeColor="text1"/>
          <w:lang w:val="es-PR"/>
        </w:rPr>
        <w:t xml:space="preserve"> el cual está sujeto a cambios de acuerdo a nuestras posibilidades para completar el mismo ante los desafíos de la pandemia del COVID19</w:t>
      </w:r>
      <w:r w:rsidRPr="00BB36A5">
        <w:rPr>
          <w:rFonts w:asciiTheme="majorHAnsi" w:hAnsiTheme="majorHAnsi" w:cstheme="majorHAnsi"/>
          <w:color w:val="000000" w:themeColor="text1"/>
          <w:lang w:val="es-PR"/>
        </w:rPr>
        <w:t>:</w:t>
      </w:r>
      <w:r w:rsidR="0095560B" w:rsidRPr="00BB36A5">
        <w:rPr>
          <w:rFonts w:asciiTheme="majorHAnsi" w:hAnsiTheme="majorHAnsi" w:cstheme="majorHAnsi"/>
          <w:lang w:val="es-PR"/>
        </w:rPr>
        <w:t xml:space="preserve"> </w:t>
      </w:r>
    </w:p>
    <w:p w14:paraId="03A61C6C" w14:textId="77777777" w:rsidR="002C4B42" w:rsidRPr="00BB36A5" w:rsidRDefault="002C4B42" w:rsidP="002C4B42">
      <w:pPr>
        <w:pStyle w:val="Default"/>
        <w:spacing w:after="9"/>
        <w:jc w:val="both"/>
        <w:rPr>
          <w:rFonts w:asciiTheme="majorHAnsi" w:hAnsiTheme="majorHAnsi" w:cstheme="majorHAnsi"/>
          <w:color w:val="000000" w:themeColor="text1"/>
          <w:lang w:val="es-PR"/>
        </w:rPr>
      </w:pPr>
    </w:p>
    <w:tbl>
      <w:tblPr>
        <w:tblStyle w:val="TableGrid"/>
        <w:tblW w:w="0" w:type="auto"/>
        <w:tblLook w:val="04A0" w:firstRow="1" w:lastRow="0" w:firstColumn="1" w:lastColumn="0" w:noHBand="0" w:noVBand="1"/>
      </w:tblPr>
      <w:tblGrid>
        <w:gridCol w:w="5035"/>
        <w:gridCol w:w="5035"/>
      </w:tblGrid>
      <w:tr w:rsidR="002C4B42" w:rsidRPr="00BB36A5" w14:paraId="3C50A781" w14:textId="77777777" w:rsidTr="009E6983">
        <w:tc>
          <w:tcPr>
            <w:tcW w:w="10070" w:type="dxa"/>
            <w:gridSpan w:val="2"/>
            <w:vAlign w:val="center"/>
          </w:tcPr>
          <w:p w14:paraId="169D080B" w14:textId="5E9803A5" w:rsidR="002C4B42" w:rsidRPr="00BB36A5" w:rsidRDefault="00652B0A" w:rsidP="009E6983">
            <w:pPr>
              <w:pStyle w:val="Default"/>
              <w:spacing w:after="9"/>
              <w:jc w:val="center"/>
              <w:rPr>
                <w:rFonts w:asciiTheme="majorHAnsi" w:hAnsiTheme="majorHAnsi" w:cstheme="majorHAnsi"/>
                <w:b/>
                <w:color w:val="000000" w:themeColor="text1"/>
                <w:lang w:val="es-PR"/>
              </w:rPr>
            </w:pPr>
            <w:r w:rsidRPr="00BB36A5">
              <w:rPr>
                <w:rFonts w:asciiTheme="majorHAnsi" w:hAnsiTheme="majorHAnsi" w:cstheme="majorHAnsi"/>
                <w:b/>
                <w:color w:val="000000" w:themeColor="text1"/>
                <w:lang w:val="es-PR"/>
              </w:rPr>
              <w:t>Línea de Tiempo Monitoria Preliminar</w:t>
            </w:r>
          </w:p>
          <w:p w14:paraId="214A594D" w14:textId="77777777" w:rsidR="002C4B42" w:rsidRPr="00BB36A5" w:rsidRDefault="002C4B42" w:rsidP="009E6983">
            <w:pPr>
              <w:pStyle w:val="Default"/>
              <w:spacing w:after="9"/>
              <w:jc w:val="center"/>
              <w:rPr>
                <w:rFonts w:asciiTheme="majorHAnsi" w:hAnsiTheme="majorHAnsi" w:cstheme="majorHAnsi"/>
                <w:b/>
                <w:color w:val="000000" w:themeColor="text1"/>
                <w:lang w:val="es-PR"/>
              </w:rPr>
            </w:pPr>
          </w:p>
        </w:tc>
      </w:tr>
      <w:tr w:rsidR="002C4B42" w:rsidRPr="00BB36A5" w14:paraId="1DF1754A" w14:textId="77777777" w:rsidTr="009E6983">
        <w:tc>
          <w:tcPr>
            <w:tcW w:w="5035" w:type="dxa"/>
            <w:vMerge w:val="restart"/>
            <w:vAlign w:val="center"/>
          </w:tcPr>
          <w:p w14:paraId="5B7691A6" w14:textId="5CD2C96A" w:rsidR="002C4B42" w:rsidRPr="00BB36A5" w:rsidRDefault="00652B0A" w:rsidP="009E6983">
            <w:pPr>
              <w:pStyle w:val="Default"/>
              <w:spacing w:after="9"/>
              <w:rPr>
                <w:rFonts w:asciiTheme="majorHAnsi" w:hAnsiTheme="majorHAnsi" w:cstheme="majorHAnsi"/>
                <w:color w:val="000000" w:themeColor="text1"/>
              </w:rPr>
            </w:pPr>
            <w:r w:rsidRPr="00BB36A5">
              <w:rPr>
                <w:rFonts w:asciiTheme="majorHAnsi" w:hAnsiTheme="majorHAnsi" w:cstheme="majorHAnsi"/>
                <w:color w:val="000000" w:themeColor="text1"/>
              </w:rPr>
              <w:t>Primer</w:t>
            </w:r>
            <w:r w:rsidR="002C4B42" w:rsidRPr="00BB36A5">
              <w:rPr>
                <w:rFonts w:asciiTheme="majorHAnsi" w:hAnsiTheme="majorHAnsi" w:cstheme="majorHAnsi"/>
                <w:color w:val="000000" w:themeColor="text1"/>
              </w:rPr>
              <w:t xml:space="preserve"> </w:t>
            </w:r>
            <w:proofErr w:type="spellStart"/>
            <w:r w:rsidR="002C4B42" w:rsidRPr="00BB36A5">
              <w:rPr>
                <w:rFonts w:asciiTheme="majorHAnsi" w:hAnsiTheme="majorHAnsi" w:cstheme="majorHAnsi"/>
                <w:color w:val="000000" w:themeColor="text1"/>
              </w:rPr>
              <w:t>Semest</w:t>
            </w:r>
            <w:r w:rsidRPr="00BB36A5">
              <w:rPr>
                <w:rFonts w:asciiTheme="majorHAnsi" w:hAnsiTheme="majorHAnsi" w:cstheme="majorHAnsi"/>
                <w:color w:val="000000" w:themeColor="text1"/>
              </w:rPr>
              <w:t>re</w:t>
            </w:r>
            <w:proofErr w:type="spellEnd"/>
            <w:r w:rsidR="002C4B42" w:rsidRPr="00BB36A5">
              <w:rPr>
                <w:rFonts w:asciiTheme="majorHAnsi" w:hAnsiTheme="majorHAnsi" w:cstheme="majorHAnsi"/>
                <w:color w:val="000000" w:themeColor="text1"/>
              </w:rPr>
              <w:t xml:space="preserve"> 2020-2021 </w:t>
            </w:r>
            <w:r w:rsidRPr="00BB36A5">
              <w:rPr>
                <w:rFonts w:asciiTheme="majorHAnsi" w:hAnsiTheme="majorHAnsi" w:cstheme="majorHAnsi"/>
                <w:color w:val="000000" w:themeColor="text1"/>
              </w:rPr>
              <w:t>Año Escolar</w:t>
            </w:r>
          </w:p>
        </w:tc>
        <w:tc>
          <w:tcPr>
            <w:tcW w:w="5035" w:type="dxa"/>
          </w:tcPr>
          <w:p w14:paraId="6EBE8497" w14:textId="6DA65846" w:rsidR="002C4B42" w:rsidRPr="00BB36A5" w:rsidRDefault="00652B0A" w:rsidP="009E6983">
            <w:pPr>
              <w:pStyle w:val="Default"/>
              <w:spacing w:after="9"/>
              <w:jc w:val="both"/>
              <w:rPr>
                <w:rFonts w:asciiTheme="majorHAnsi" w:hAnsiTheme="majorHAnsi" w:cstheme="majorHAnsi"/>
                <w:color w:val="000000" w:themeColor="text1"/>
              </w:rPr>
            </w:pPr>
            <w:proofErr w:type="spellStart"/>
            <w:r w:rsidRPr="00BB36A5">
              <w:rPr>
                <w:rFonts w:asciiTheme="majorHAnsi" w:hAnsiTheme="majorHAnsi" w:cstheme="majorHAnsi"/>
                <w:color w:val="000000" w:themeColor="text1"/>
              </w:rPr>
              <w:t>Región</w:t>
            </w:r>
            <w:proofErr w:type="spellEnd"/>
            <w:r w:rsidRPr="00BB36A5">
              <w:rPr>
                <w:rFonts w:asciiTheme="majorHAnsi" w:hAnsiTheme="majorHAnsi" w:cstheme="majorHAnsi"/>
                <w:color w:val="000000" w:themeColor="text1"/>
              </w:rPr>
              <w:t xml:space="preserve"> </w:t>
            </w:r>
            <w:r w:rsidR="002C4B42" w:rsidRPr="00BB36A5">
              <w:rPr>
                <w:rFonts w:asciiTheme="majorHAnsi" w:hAnsiTheme="majorHAnsi" w:cstheme="majorHAnsi"/>
                <w:color w:val="000000" w:themeColor="text1"/>
              </w:rPr>
              <w:t>Caguas</w:t>
            </w:r>
          </w:p>
        </w:tc>
      </w:tr>
      <w:tr w:rsidR="002C4B42" w:rsidRPr="00BB36A5" w14:paraId="2F9770D0" w14:textId="77777777" w:rsidTr="009E6983">
        <w:tc>
          <w:tcPr>
            <w:tcW w:w="5035" w:type="dxa"/>
            <w:vMerge/>
          </w:tcPr>
          <w:p w14:paraId="532D6908" w14:textId="77777777" w:rsidR="002C4B42" w:rsidRPr="00BB36A5" w:rsidRDefault="002C4B42" w:rsidP="009E6983">
            <w:pPr>
              <w:pStyle w:val="Default"/>
              <w:spacing w:after="9"/>
              <w:jc w:val="both"/>
              <w:rPr>
                <w:rFonts w:asciiTheme="majorHAnsi" w:hAnsiTheme="majorHAnsi" w:cstheme="majorHAnsi"/>
                <w:color w:val="000000" w:themeColor="text1"/>
              </w:rPr>
            </w:pPr>
          </w:p>
        </w:tc>
        <w:tc>
          <w:tcPr>
            <w:tcW w:w="5035" w:type="dxa"/>
          </w:tcPr>
          <w:p w14:paraId="102326E2" w14:textId="3AEBB6A2" w:rsidR="002C4B42" w:rsidRPr="00BB36A5" w:rsidRDefault="00652B0A" w:rsidP="009E6983">
            <w:pPr>
              <w:pStyle w:val="Default"/>
              <w:spacing w:after="9"/>
              <w:jc w:val="both"/>
              <w:rPr>
                <w:rFonts w:asciiTheme="majorHAnsi" w:hAnsiTheme="majorHAnsi" w:cstheme="majorHAnsi"/>
                <w:color w:val="000000" w:themeColor="text1"/>
              </w:rPr>
            </w:pPr>
            <w:proofErr w:type="spellStart"/>
            <w:r w:rsidRPr="00BB36A5">
              <w:rPr>
                <w:rFonts w:asciiTheme="majorHAnsi" w:hAnsiTheme="majorHAnsi" w:cstheme="majorHAnsi"/>
                <w:color w:val="000000" w:themeColor="text1"/>
              </w:rPr>
              <w:t>Región</w:t>
            </w:r>
            <w:proofErr w:type="spellEnd"/>
            <w:r w:rsidRPr="00BB36A5">
              <w:rPr>
                <w:rFonts w:asciiTheme="majorHAnsi" w:hAnsiTheme="majorHAnsi" w:cstheme="majorHAnsi"/>
                <w:color w:val="000000" w:themeColor="text1"/>
              </w:rPr>
              <w:t xml:space="preserve"> </w:t>
            </w:r>
            <w:r w:rsidR="002C4B42" w:rsidRPr="00BB36A5">
              <w:rPr>
                <w:rFonts w:asciiTheme="majorHAnsi" w:hAnsiTheme="majorHAnsi" w:cstheme="majorHAnsi"/>
                <w:color w:val="000000" w:themeColor="text1"/>
              </w:rPr>
              <w:t xml:space="preserve">Humacao </w:t>
            </w:r>
          </w:p>
        </w:tc>
      </w:tr>
      <w:tr w:rsidR="002C4B42" w:rsidRPr="00BB36A5" w14:paraId="3459C821" w14:textId="77777777" w:rsidTr="009E6983">
        <w:tc>
          <w:tcPr>
            <w:tcW w:w="5035" w:type="dxa"/>
            <w:vMerge/>
          </w:tcPr>
          <w:p w14:paraId="5FCFA4B1" w14:textId="77777777" w:rsidR="002C4B42" w:rsidRPr="00BB36A5" w:rsidRDefault="002C4B42" w:rsidP="009E6983">
            <w:pPr>
              <w:pStyle w:val="Default"/>
              <w:spacing w:after="9"/>
              <w:jc w:val="both"/>
              <w:rPr>
                <w:rFonts w:asciiTheme="majorHAnsi" w:hAnsiTheme="majorHAnsi" w:cstheme="majorHAnsi"/>
                <w:color w:val="000000" w:themeColor="text1"/>
              </w:rPr>
            </w:pPr>
          </w:p>
        </w:tc>
        <w:tc>
          <w:tcPr>
            <w:tcW w:w="5035" w:type="dxa"/>
          </w:tcPr>
          <w:p w14:paraId="3BEDFEEE" w14:textId="44DFF892" w:rsidR="002C4B42" w:rsidRPr="00BB36A5" w:rsidRDefault="00652B0A" w:rsidP="009E6983">
            <w:pPr>
              <w:pStyle w:val="Default"/>
              <w:spacing w:after="9"/>
              <w:jc w:val="both"/>
              <w:rPr>
                <w:rFonts w:asciiTheme="majorHAnsi" w:hAnsiTheme="majorHAnsi" w:cstheme="majorHAnsi"/>
                <w:color w:val="000000" w:themeColor="text1"/>
              </w:rPr>
            </w:pPr>
            <w:proofErr w:type="spellStart"/>
            <w:r w:rsidRPr="00BB36A5">
              <w:rPr>
                <w:rFonts w:asciiTheme="majorHAnsi" w:hAnsiTheme="majorHAnsi" w:cstheme="majorHAnsi"/>
                <w:color w:val="000000" w:themeColor="text1"/>
              </w:rPr>
              <w:t>Región</w:t>
            </w:r>
            <w:proofErr w:type="spellEnd"/>
            <w:r w:rsidRPr="00BB36A5">
              <w:rPr>
                <w:rFonts w:asciiTheme="majorHAnsi" w:hAnsiTheme="majorHAnsi" w:cstheme="majorHAnsi"/>
                <w:color w:val="000000" w:themeColor="text1"/>
              </w:rPr>
              <w:t xml:space="preserve"> </w:t>
            </w:r>
            <w:r w:rsidR="0095560B" w:rsidRPr="00BB36A5">
              <w:rPr>
                <w:rFonts w:asciiTheme="majorHAnsi" w:hAnsiTheme="majorHAnsi" w:cstheme="majorHAnsi"/>
                <w:color w:val="000000" w:themeColor="text1"/>
              </w:rPr>
              <w:t>San Juan</w:t>
            </w:r>
          </w:p>
        </w:tc>
      </w:tr>
      <w:tr w:rsidR="002C4B42" w:rsidRPr="00BB36A5" w14:paraId="7BCC4138" w14:textId="77777777" w:rsidTr="009E6983">
        <w:tc>
          <w:tcPr>
            <w:tcW w:w="5035" w:type="dxa"/>
            <w:vMerge/>
          </w:tcPr>
          <w:p w14:paraId="735F6164" w14:textId="77777777" w:rsidR="002C4B42" w:rsidRPr="00BB36A5" w:rsidRDefault="002C4B42" w:rsidP="009E6983">
            <w:pPr>
              <w:pStyle w:val="Default"/>
              <w:spacing w:after="9"/>
              <w:jc w:val="both"/>
              <w:rPr>
                <w:rFonts w:asciiTheme="majorHAnsi" w:hAnsiTheme="majorHAnsi" w:cstheme="majorHAnsi"/>
                <w:color w:val="000000" w:themeColor="text1"/>
              </w:rPr>
            </w:pPr>
          </w:p>
        </w:tc>
        <w:tc>
          <w:tcPr>
            <w:tcW w:w="5035" w:type="dxa"/>
          </w:tcPr>
          <w:p w14:paraId="2D283D81" w14:textId="250D355F" w:rsidR="002C4B42" w:rsidRPr="00BB36A5" w:rsidRDefault="00652B0A" w:rsidP="009E6983">
            <w:pPr>
              <w:pStyle w:val="Default"/>
              <w:spacing w:after="9"/>
              <w:jc w:val="both"/>
              <w:rPr>
                <w:rFonts w:asciiTheme="majorHAnsi" w:hAnsiTheme="majorHAnsi" w:cstheme="majorHAnsi"/>
                <w:color w:val="000000" w:themeColor="text1"/>
              </w:rPr>
            </w:pPr>
            <w:proofErr w:type="spellStart"/>
            <w:r w:rsidRPr="00BB36A5">
              <w:rPr>
                <w:rFonts w:asciiTheme="majorHAnsi" w:hAnsiTheme="majorHAnsi" w:cstheme="majorHAnsi"/>
                <w:color w:val="000000" w:themeColor="text1"/>
              </w:rPr>
              <w:t>Región</w:t>
            </w:r>
            <w:proofErr w:type="spellEnd"/>
            <w:r w:rsidRPr="00BB36A5">
              <w:rPr>
                <w:rFonts w:asciiTheme="majorHAnsi" w:hAnsiTheme="majorHAnsi" w:cstheme="majorHAnsi"/>
                <w:color w:val="000000" w:themeColor="text1"/>
              </w:rPr>
              <w:t xml:space="preserve"> </w:t>
            </w:r>
            <w:r w:rsidR="002C4B42" w:rsidRPr="00BB36A5">
              <w:rPr>
                <w:rFonts w:asciiTheme="majorHAnsi" w:hAnsiTheme="majorHAnsi" w:cstheme="majorHAnsi"/>
                <w:color w:val="000000" w:themeColor="text1"/>
              </w:rPr>
              <w:t xml:space="preserve">Ponce </w:t>
            </w:r>
          </w:p>
        </w:tc>
      </w:tr>
    </w:tbl>
    <w:p w14:paraId="65EF0CDC" w14:textId="77777777" w:rsidR="002C4B42" w:rsidRPr="00BB36A5" w:rsidRDefault="002C4B42" w:rsidP="002C4B42">
      <w:pPr>
        <w:pStyle w:val="Default"/>
        <w:spacing w:after="9"/>
        <w:jc w:val="both"/>
        <w:rPr>
          <w:rFonts w:asciiTheme="majorHAnsi" w:hAnsiTheme="majorHAnsi" w:cstheme="majorHAnsi"/>
          <w:color w:val="000000" w:themeColor="text1"/>
        </w:rPr>
      </w:pPr>
    </w:p>
    <w:tbl>
      <w:tblPr>
        <w:tblStyle w:val="TableGrid"/>
        <w:tblW w:w="0" w:type="auto"/>
        <w:tblLook w:val="04A0" w:firstRow="1" w:lastRow="0" w:firstColumn="1" w:lastColumn="0" w:noHBand="0" w:noVBand="1"/>
      </w:tblPr>
      <w:tblGrid>
        <w:gridCol w:w="5035"/>
        <w:gridCol w:w="5035"/>
      </w:tblGrid>
      <w:tr w:rsidR="00A65A0B" w:rsidRPr="00BB36A5" w14:paraId="3201C5BC" w14:textId="77777777" w:rsidTr="009E6983">
        <w:tc>
          <w:tcPr>
            <w:tcW w:w="10070" w:type="dxa"/>
            <w:gridSpan w:val="2"/>
          </w:tcPr>
          <w:p w14:paraId="1ECD3628" w14:textId="22315D1A" w:rsidR="002C4B42" w:rsidRPr="00BB36A5" w:rsidRDefault="00652B0A" w:rsidP="009E6983">
            <w:pPr>
              <w:pStyle w:val="Default"/>
              <w:spacing w:after="9"/>
              <w:jc w:val="center"/>
              <w:rPr>
                <w:rFonts w:asciiTheme="majorHAnsi" w:hAnsiTheme="majorHAnsi" w:cstheme="majorHAnsi"/>
                <w:b/>
                <w:bCs/>
                <w:color w:val="auto"/>
                <w:lang w:val="es-PR"/>
              </w:rPr>
            </w:pPr>
            <w:r w:rsidRPr="00BB36A5">
              <w:rPr>
                <w:rFonts w:asciiTheme="majorHAnsi" w:hAnsiTheme="majorHAnsi" w:cstheme="majorHAnsi"/>
                <w:b/>
                <w:bCs/>
                <w:color w:val="auto"/>
                <w:lang w:val="es-PR"/>
              </w:rPr>
              <w:t>Línea de Tiempo Monitoria Preliminar de las Iniciativas</w:t>
            </w:r>
            <w:r w:rsidR="002C4B42" w:rsidRPr="00BB36A5">
              <w:rPr>
                <w:rStyle w:val="FootnoteReference"/>
                <w:rFonts w:asciiTheme="majorHAnsi" w:hAnsiTheme="majorHAnsi" w:cstheme="majorHAnsi"/>
                <w:b/>
                <w:bCs/>
                <w:color w:val="auto"/>
              </w:rPr>
              <w:footnoteReference w:id="12"/>
            </w:r>
          </w:p>
          <w:p w14:paraId="41A35507" w14:textId="77777777" w:rsidR="002C4B42" w:rsidRPr="00BB36A5" w:rsidRDefault="002C4B42" w:rsidP="009E6983">
            <w:pPr>
              <w:pStyle w:val="Default"/>
              <w:spacing w:after="9"/>
              <w:jc w:val="center"/>
              <w:rPr>
                <w:rFonts w:asciiTheme="majorHAnsi" w:hAnsiTheme="majorHAnsi" w:cstheme="majorHAnsi"/>
                <w:color w:val="auto"/>
                <w:lang w:val="es-PR"/>
              </w:rPr>
            </w:pPr>
          </w:p>
        </w:tc>
      </w:tr>
      <w:tr w:rsidR="00A65A0B" w:rsidRPr="00BB36A5" w14:paraId="5931CC0D" w14:textId="77777777" w:rsidTr="009E6983">
        <w:tc>
          <w:tcPr>
            <w:tcW w:w="5035" w:type="dxa"/>
            <w:vMerge w:val="restart"/>
          </w:tcPr>
          <w:p w14:paraId="090B8F1F" w14:textId="0FDA2532" w:rsidR="002C4B42" w:rsidRPr="00BB36A5" w:rsidRDefault="002C4B42" w:rsidP="009E6983">
            <w:pPr>
              <w:pStyle w:val="Default"/>
              <w:spacing w:after="9"/>
              <w:jc w:val="both"/>
              <w:rPr>
                <w:rFonts w:asciiTheme="majorHAnsi" w:hAnsiTheme="majorHAnsi" w:cstheme="majorHAnsi"/>
                <w:color w:val="auto"/>
              </w:rPr>
            </w:pPr>
            <w:r w:rsidRPr="00BB36A5">
              <w:rPr>
                <w:rFonts w:asciiTheme="majorHAnsi" w:hAnsiTheme="majorHAnsi" w:cstheme="majorHAnsi"/>
                <w:color w:val="auto"/>
              </w:rPr>
              <w:t>Se</w:t>
            </w:r>
            <w:r w:rsidR="00652B0A" w:rsidRPr="00BB36A5">
              <w:rPr>
                <w:rFonts w:asciiTheme="majorHAnsi" w:hAnsiTheme="majorHAnsi" w:cstheme="majorHAnsi"/>
                <w:color w:val="auto"/>
              </w:rPr>
              <w:t>gundo</w:t>
            </w:r>
            <w:r w:rsidRPr="00BB36A5">
              <w:rPr>
                <w:rFonts w:asciiTheme="majorHAnsi" w:hAnsiTheme="majorHAnsi" w:cstheme="majorHAnsi"/>
                <w:color w:val="auto"/>
              </w:rPr>
              <w:t xml:space="preserve"> </w:t>
            </w:r>
            <w:proofErr w:type="spellStart"/>
            <w:r w:rsidRPr="00BB36A5">
              <w:rPr>
                <w:rFonts w:asciiTheme="majorHAnsi" w:hAnsiTheme="majorHAnsi" w:cstheme="majorHAnsi"/>
                <w:color w:val="auto"/>
              </w:rPr>
              <w:t>Semest</w:t>
            </w:r>
            <w:r w:rsidR="00652B0A" w:rsidRPr="00BB36A5">
              <w:rPr>
                <w:rFonts w:asciiTheme="majorHAnsi" w:hAnsiTheme="majorHAnsi" w:cstheme="majorHAnsi"/>
                <w:color w:val="auto"/>
              </w:rPr>
              <w:t>re</w:t>
            </w:r>
            <w:proofErr w:type="spellEnd"/>
            <w:r w:rsidRPr="00BB36A5">
              <w:rPr>
                <w:rFonts w:asciiTheme="majorHAnsi" w:hAnsiTheme="majorHAnsi" w:cstheme="majorHAnsi"/>
                <w:color w:val="auto"/>
              </w:rPr>
              <w:t xml:space="preserve"> 20</w:t>
            </w:r>
            <w:r w:rsidR="0095560B" w:rsidRPr="00BB36A5">
              <w:rPr>
                <w:rFonts w:asciiTheme="majorHAnsi" w:hAnsiTheme="majorHAnsi" w:cstheme="majorHAnsi"/>
                <w:color w:val="auto"/>
              </w:rPr>
              <w:t>20</w:t>
            </w:r>
            <w:r w:rsidRPr="00BB36A5">
              <w:rPr>
                <w:rFonts w:asciiTheme="majorHAnsi" w:hAnsiTheme="majorHAnsi" w:cstheme="majorHAnsi"/>
                <w:color w:val="auto"/>
              </w:rPr>
              <w:t xml:space="preserve"> - 202</w:t>
            </w:r>
            <w:r w:rsidR="0095560B" w:rsidRPr="00BB36A5">
              <w:rPr>
                <w:rFonts w:asciiTheme="majorHAnsi" w:hAnsiTheme="majorHAnsi" w:cstheme="majorHAnsi"/>
                <w:color w:val="auto"/>
              </w:rPr>
              <w:t>1</w:t>
            </w:r>
          </w:p>
        </w:tc>
        <w:tc>
          <w:tcPr>
            <w:tcW w:w="5035" w:type="dxa"/>
          </w:tcPr>
          <w:p w14:paraId="1B7E593A" w14:textId="6835CDB0" w:rsidR="002C4B42" w:rsidRPr="00BB36A5" w:rsidRDefault="00652B0A" w:rsidP="009E6983">
            <w:pPr>
              <w:pStyle w:val="Default"/>
              <w:spacing w:after="9"/>
              <w:jc w:val="both"/>
              <w:rPr>
                <w:rFonts w:asciiTheme="majorHAnsi" w:hAnsiTheme="majorHAnsi" w:cstheme="majorHAnsi"/>
                <w:color w:val="auto"/>
              </w:rPr>
            </w:pPr>
            <w:proofErr w:type="spellStart"/>
            <w:r w:rsidRPr="00BB36A5">
              <w:rPr>
                <w:rFonts w:asciiTheme="majorHAnsi" w:hAnsiTheme="majorHAnsi" w:cstheme="majorHAnsi"/>
                <w:color w:val="auto"/>
              </w:rPr>
              <w:t>Iniciativas</w:t>
            </w:r>
            <w:proofErr w:type="spellEnd"/>
            <w:r w:rsidRPr="00BB36A5">
              <w:rPr>
                <w:rFonts w:asciiTheme="majorHAnsi" w:hAnsiTheme="majorHAnsi" w:cstheme="majorHAnsi"/>
                <w:color w:val="auto"/>
              </w:rPr>
              <w:t xml:space="preserve"> </w:t>
            </w:r>
            <w:r w:rsidR="0095560B" w:rsidRPr="00BB36A5">
              <w:rPr>
                <w:rFonts w:asciiTheme="majorHAnsi" w:hAnsiTheme="majorHAnsi" w:cstheme="majorHAnsi"/>
                <w:color w:val="auto"/>
              </w:rPr>
              <w:t xml:space="preserve">del </w:t>
            </w:r>
            <w:r w:rsidRPr="00BB36A5">
              <w:rPr>
                <w:rFonts w:asciiTheme="majorHAnsi" w:hAnsiTheme="majorHAnsi" w:cstheme="majorHAnsi"/>
                <w:color w:val="auto"/>
              </w:rPr>
              <w:t>Nivel Central</w:t>
            </w:r>
          </w:p>
        </w:tc>
      </w:tr>
      <w:tr w:rsidR="00A65A0B" w:rsidRPr="00BB36A5" w14:paraId="1A209D6C" w14:textId="77777777" w:rsidTr="009E6983">
        <w:tc>
          <w:tcPr>
            <w:tcW w:w="5035" w:type="dxa"/>
            <w:vMerge/>
          </w:tcPr>
          <w:p w14:paraId="666E0196" w14:textId="77777777" w:rsidR="002C4B42" w:rsidRPr="00BB36A5" w:rsidRDefault="002C4B42" w:rsidP="009E6983">
            <w:pPr>
              <w:pStyle w:val="Default"/>
              <w:spacing w:after="9"/>
              <w:jc w:val="both"/>
              <w:rPr>
                <w:rFonts w:asciiTheme="majorHAnsi" w:hAnsiTheme="majorHAnsi" w:cstheme="majorHAnsi"/>
                <w:color w:val="auto"/>
              </w:rPr>
            </w:pPr>
          </w:p>
        </w:tc>
        <w:tc>
          <w:tcPr>
            <w:tcW w:w="5035" w:type="dxa"/>
          </w:tcPr>
          <w:p w14:paraId="253FC2CB" w14:textId="39299FE1" w:rsidR="002C4B42" w:rsidRPr="00BB36A5" w:rsidRDefault="00652B0A" w:rsidP="009E6983">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Oficina </w:t>
            </w:r>
            <w:r w:rsidR="002C4B42" w:rsidRPr="00BB36A5">
              <w:rPr>
                <w:rFonts w:asciiTheme="majorHAnsi" w:hAnsiTheme="majorHAnsi" w:cstheme="majorHAnsi"/>
                <w:color w:val="auto"/>
                <w:lang w:val="es-PR"/>
              </w:rPr>
              <w:t>RESTART (</w:t>
            </w:r>
            <w:r w:rsidRPr="00BB36A5">
              <w:rPr>
                <w:rFonts w:asciiTheme="majorHAnsi" w:hAnsiTheme="majorHAnsi" w:cstheme="majorHAnsi"/>
                <w:color w:val="auto"/>
                <w:lang w:val="es-PR"/>
              </w:rPr>
              <w:t>Monitoria de Cumplimiento</w:t>
            </w:r>
            <w:r w:rsidR="002C4B42" w:rsidRPr="00BB36A5">
              <w:rPr>
                <w:rFonts w:asciiTheme="majorHAnsi" w:hAnsiTheme="majorHAnsi" w:cstheme="majorHAnsi"/>
                <w:color w:val="auto"/>
                <w:lang w:val="es-PR"/>
              </w:rPr>
              <w:t>)</w:t>
            </w:r>
          </w:p>
        </w:tc>
      </w:tr>
    </w:tbl>
    <w:p w14:paraId="787A1980" w14:textId="77777777" w:rsidR="002C4B42" w:rsidRPr="00BB36A5" w:rsidRDefault="002C4B42" w:rsidP="002C4B42">
      <w:pPr>
        <w:pStyle w:val="Default"/>
        <w:spacing w:after="9"/>
        <w:jc w:val="both"/>
        <w:rPr>
          <w:rFonts w:asciiTheme="majorHAnsi" w:hAnsiTheme="majorHAnsi" w:cstheme="majorHAnsi"/>
          <w:color w:val="000000" w:themeColor="text1"/>
          <w:lang w:val="es-PR"/>
        </w:rPr>
      </w:pPr>
    </w:p>
    <w:p w14:paraId="7F314D24" w14:textId="4939CBDB" w:rsidR="002C4B42" w:rsidRPr="00BB36A5" w:rsidRDefault="00E405A1"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Las fechas oficiales y las áreas que serán monitoreadas están sujetas a la implementación de las iniciativas incluidas en el </w:t>
      </w:r>
      <w:proofErr w:type="spellStart"/>
      <w:r w:rsidRPr="00BB36A5">
        <w:rPr>
          <w:rFonts w:asciiTheme="majorHAnsi" w:hAnsiTheme="majorHAnsi" w:cstheme="majorHAnsi"/>
          <w:i/>
          <w:iCs/>
          <w:color w:val="000000" w:themeColor="text1"/>
          <w:lang w:val="es-PR"/>
        </w:rPr>
        <w:t>Restart</w:t>
      </w:r>
      <w:proofErr w:type="spellEnd"/>
      <w:r w:rsidR="006E2B36" w:rsidRPr="00BB36A5">
        <w:rPr>
          <w:rFonts w:asciiTheme="majorHAnsi" w:hAnsiTheme="majorHAnsi" w:cstheme="majorHAnsi"/>
          <w:i/>
          <w:iCs/>
          <w:color w:val="000000" w:themeColor="text1"/>
          <w:lang w:val="es-PR"/>
        </w:rPr>
        <w:t xml:space="preserve"> </w:t>
      </w:r>
      <w:proofErr w:type="spellStart"/>
      <w:r w:rsidR="006E2B36" w:rsidRPr="00BB36A5">
        <w:rPr>
          <w:rFonts w:asciiTheme="majorHAnsi" w:hAnsiTheme="majorHAnsi" w:cstheme="majorHAnsi"/>
          <w:i/>
          <w:iCs/>
          <w:color w:val="000000" w:themeColor="text1"/>
          <w:lang w:val="es-PR"/>
        </w:rPr>
        <w:t>Funding</w:t>
      </w:r>
      <w:proofErr w:type="spellEnd"/>
      <w:r w:rsidR="006E2B36" w:rsidRPr="00BB36A5">
        <w:rPr>
          <w:rFonts w:asciiTheme="majorHAnsi" w:hAnsiTheme="majorHAnsi" w:cstheme="majorHAnsi"/>
          <w:i/>
          <w:iCs/>
          <w:color w:val="000000" w:themeColor="text1"/>
          <w:lang w:val="es-PR"/>
        </w:rPr>
        <w:t xml:space="preserve"> Plan</w:t>
      </w:r>
      <w:r w:rsidRPr="00BB36A5">
        <w:rPr>
          <w:rFonts w:asciiTheme="majorHAnsi" w:hAnsiTheme="majorHAnsi" w:cstheme="majorHAnsi"/>
          <w:color w:val="000000" w:themeColor="text1"/>
          <w:lang w:val="es-PR"/>
        </w:rPr>
        <w:t>.</w:t>
      </w:r>
    </w:p>
    <w:p w14:paraId="6075975F" w14:textId="46A234AA" w:rsidR="002C4B42" w:rsidRPr="00BB36A5" w:rsidRDefault="002C4B42" w:rsidP="0059178F">
      <w:pPr>
        <w:pStyle w:val="Default"/>
        <w:spacing w:after="9"/>
        <w:jc w:val="both"/>
        <w:rPr>
          <w:rFonts w:asciiTheme="majorHAnsi" w:hAnsiTheme="majorHAnsi" w:cstheme="majorHAnsi"/>
          <w:color w:val="000000" w:themeColor="text1"/>
          <w:lang w:val="es-PR"/>
        </w:rPr>
      </w:pPr>
    </w:p>
    <w:p w14:paraId="08CA8EF0" w14:textId="38099BCE" w:rsidR="00D5654E" w:rsidRPr="00BB36A5" w:rsidRDefault="00801DCC" w:rsidP="00D5654E">
      <w:pPr>
        <w:pStyle w:val="Heading4"/>
        <w:rPr>
          <w:rFonts w:cstheme="majorHAnsi"/>
          <w:i w:val="0"/>
          <w:iCs w:val="0"/>
          <w:lang w:val="es-PR"/>
        </w:rPr>
      </w:pPr>
      <w:r w:rsidRPr="00BB36A5">
        <w:rPr>
          <w:rFonts w:cstheme="majorHAnsi"/>
          <w:i w:val="0"/>
          <w:iCs w:val="0"/>
          <w:lang w:val="es-PR"/>
        </w:rPr>
        <w:t>Escuelas Privadas</w:t>
      </w:r>
    </w:p>
    <w:p w14:paraId="1A11DE5F" w14:textId="040FF95D" w:rsidR="00D5654E" w:rsidRPr="00BB36A5" w:rsidRDefault="00631214" w:rsidP="00D5654E">
      <w:p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monitoreo de las escuelas privadas se llevará a cabo utilizando el proceso </w:t>
      </w:r>
      <w:r w:rsidR="00BC228C" w:rsidRPr="00BB36A5">
        <w:rPr>
          <w:rFonts w:asciiTheme="majorHAnsi" w:hAnsiTheme="majorHAnsi" w:cstheme="majorHAnsi"/>
          <w:color w:val="000000" w:themeColor="text1"/>
          <w:lang w:val="es-PR"/>
        </w:rPr>
        <w:t xml:space="preserve">de monitoria a distancia para las 27 escuelas seleccionadas.  La monitoria a distancia fue la mejor opción para asegurarnos que se </w:t>
      </w:r>
      <w:r w:rsidR="00AE0C85" w:rsidRPr="00BB36A5">
        <w:rPr>
          <w:rFonts w:asciiTheme="majorHAnsi" w:hAnsiTheme="majorHAnsi" w:cstheme="majorHAnsi"/>
          <w:color w:val="000000" w:themeColor="text1"/>
          <w:lang w:val="es-PR"/>
        </w:rPr>
        <w:t>continúe</w:t>
      </w:r>
      <w:r w:rsidR="00BC228C" w:rsidRPr="00BB36A5">
        <w:rPr>
          <w:rFonts w:asciiTheme="majorHAnsi" w:hAnsiTheme="majorHAnsi" w:cstheme="majorHAnsi"/>
          <w:color w:val="000000" w:themeColor="text1"/>
          <w:lang w:val="es-PR"/>
        </w:rPr>
        <w:t xml:space="preserve"> con el monitoreo de las actividades durante la pandemia ya que muchas de las escuelas privadas permanecen cerradas, parcialmente cerradas o proveyendo educación a distancia (no permiten visitas de personal para mantener los protocolos de cuidado ante la pandemia).  El proveedor externo o contratista independiente modificara los formularios utilizados para las escuelas públicas de acuerdo a las necesidades y procesos de las escuelas privadas. </w:t>
      </w:r>
      <w:r w:rsidRPr="00BB36A5">
        <w:rPr>
          <w:rFonts w:asciiTheme="majorHAnsi" w:hAnsiTheme="majorHAnsi" w:cstheme="majorHAnsi"/>
          <w:color w:val="000000" w:themeColor="text1"/>
          <w:lang w:val="es-PR"/>
        </w:rPr>
        <w:t xml:space="preserve">El procedimiento comenzará con la revisión y evaluación del estudio de las necesidades para asegurar que los datos sean exactos y que no se hayan reclamado ni recibido otros fondos o ayudas de otros programas federales de asistencia de emergencia. Por tal razón, el DEPR solicita que cualquier petición de bienes y servicios sea apoyada por formularios debidamente completados y proveer evidencia de los daños que ocurrieron dentro de la escuela privada (por ejemplo, fotos, declaraciones juradas, etc.). Las escuelas privadas tendrán que certificar que no han recibido ninguno de los bienes y servicios solicitados por ningún otro medio (para obtener más detalles sobre el proceso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 xml:space="preserve">para escuelas </w:t>
      </w:r>
      <w:r w:rsidR="00BC228C" w:rsidRPr="00BB36A5">
        <w:rPr>
          <w:rFonts w:asciiTheme="majorHAnsi" w:hAnsiTheme="majorHAnsi" w:cstheme="majorHAnsi"/>
          <w:color w:val="000000" w:themeColor="text1"/>
          <w:lang w:val="es-PR"/>
        </w:rPr>
        <w:t>privadas</w:t>
      </w:r>
      <w:r w:rsidRPr="00BB36A5">
        <w:rPr>
          <w:rFonts w:asciiTheme="majorHAnsi" w:hAnsiTheme="majorHAnsi" w:cstheme="majorHAnsi"/>
          <w:color w:val="000000" w:themeColor="text1"/>
          <w:lang w:val="es-PR"/>
        </w:rPr>
        <w:t xml:space="preserve"> de como solicitar servicios, consulte el Apéndice B </w:t>
      </w:r>
      <w:r w:rsidR="00245248"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w:t>
      </w:r>
      <w:r w:rsidR="00245248" w:rsidRPr="00BB36A5">
        <w:rPr>
          <w:rFonts w:asciiTheme="majorHAnsi" w:hAnsiTheme="majorHAnsi" w:cstheme="majorHAnsi"/>
          <w:color w:val="000000" w:themeColor="text1"/>
          <w:lang w:val="es-PR"/>
        </w:rPr>
        <w:t xml:space="preserve">Flujograma de </w:t>
      </w:r>
      <w:r w:rsidRPr="00BB36A5">
        <w:rPr>
          <w:rFonts w:asciiTheme="majorHAnsi" w:hAnsiTheme="majorHAnsi" w:cstheme="majorHAnsi"/>
          <w:color w:val="000000" w:themeColor="text1"/>
          <w:lang w:val="es-PR"/>
        </w:rPr>
        <w:t>Proceso de Solicitud</w:t>
      </w:r>
      <w:r w:rsidR="00245248"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para Escuelas Privadas del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w:t>
      </w:r>
    </w:p>
    <w:p w14:paraId="5CB682BC" w14:textId="77777777" w:rsidR="00782085" w:rsidRPr="00BB36A5" w:rsidRDefault="00782085" w:rsidP="00D5654E">
      <w:pPr>
        <w:jc w:val="both"/>
        <w:rPr>
          <w:rFonts w:asciiTheme="majorHAnsi" w:hAnsiTheme="majorHAnsi" w:cstheme="majorHAnsi"/>
          <w:color w:val="000000" w:themeColor="text1"/>
          <w:lang w:val="es-PR"/>
        </w:rPr>
      </w:pPr>
    </w:p>
    <w:p w14:paraId="0304662F" w14:textId="68ECC797" w:rsidR="00782085" w:rsidRPr="00BB36A5" w:rsidRDefault="00782085" w:rsidP="00D5654E">
      <w:p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DEPR ha creado una dirección de correo electrónico para todas las comunicaciones referentes a las escuelas privadas relacionadas con 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para proporcionar un apoyo continuo y asistencia técnica: </w:t>
      </w:r>
      <w:r w:rsidRPr="00BB36A5">
        <w:rPr>
          <w:rFonts w:asciiTheme="majorHAnsi" w:hAnsiTheme="majorHAnsi" w:cstheme="majorHAnsi"/>
          <w:b/>
          <w:bCs/>
          <w:color w:val="000000" w:themeColor="text1"/>
          <w:lang w:val="es-PR"/>
        </w:rPr>
        <w:t>mattei_d@de.pr.gov</w:t>
      </w:r>
      <w:r w:rsidRPr="00BB36A5">
        <w:rPr>
          <w:rFonts w:asciiTheme="majorHAnsi" w:hAnsiTheme="majorHAnsi" w:cstheme="majorHAnsi"/>
          <w:color w:val="000000" w:themeColor="text1"/>
          <w:lang w:val="es-PR"/>
        </w:rPr>
        <w:t xml:space="preserve">. Además, el DEPR ha llevado a cabo varias reuniones de consulta durante el año 2019 y 2020, donde los directores de las escuelas privadas tuvieron la oportunidad de plantear </w:t>
      </w:r>
      <w:r w:rsidRPr="00BB36A5">
        <w:rPr>
          <w:rFonts w:asciiTheme="majorHAnsi" w:hAnsiTheme="majorHAnsi" w:cstheme="majorHAnsi"/>
          <w:color w:val="000000" w:themeColor="text1"/>
          <w:lang w:val="es-PR"/>
        </w:rPr>
        <w:lastRenderedPageBreak/>
        <w:t xml:space="preserve">cualquier inquietud mientras completaban los formularios de solicitud para los fondos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El DEPR fijo el 28 de febrero de 2019 como una fecha preliminar para que las escuelas privadas solicitaran asistencia del programa</w:t>
      </w:r>
      <w:r w:rsidRPr="00BB36A5">
        <w:rPr>
          <w:rFonts w:asciiTheme="majorHAnsi" w:hAnsiTheme="majorHAnsi" w:cstheme="majorHAnsi"/>
          <w:i/>
          <w:iCs/>
          <w:color w:val="000000" w:themeColor="text1"/>
          <w:lang w:val="es-PR"/>
        </w:rPr>
        <w:t xml:space="preserv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 xml:space="preserve"> para asegurarse de que el DEPR pudiera proveer la ayuda para dicho año escolar. Sin embargo, se abrió una nueva ventana para que las escuelas privadas solicitaran fondos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la documentación se debía enviar antes del 22 de enero de 2020. El DEPR está tomando acciones afirmativas para poder proveer dichos servicios a las escuelas privadas con el fin de que tengan acceso equitativo a esta ayuda federal del programa mientras reinician sus operaciones.</w:t>
      </w:r>
    </w:p>
    <w:p w14:paraId="3F2EF366" w14:textId="77777777" w:rsidR="00D5654E" w:rsidRPr="00BB36A5" w:rsidRDefault="00D5654E" w:rsidP="00D5654E">
      <w:pPr>
        <w:jc w:val="both"/>
        <w:rPr>
          <w:rFonts w:asciiTheme="majorHAnsi" w:hAnsiTheme="majorHAnsi" w:cstheme="majorHAnsi"/>
          <w:color w:val="000000" w:themeColor="text1"/>
          <w:lang w:val="es-PR"/>
        </w:rPr>
      </w:pPr>
    </w:p>
    <w:p w14:paraId="5B2E23CB" w14:textId="456B4EE3" w:rsidR="00201E79" w:rsidRPr="00BB36A5" w:rsidRDefault="00D832AA" w:rsidP="00D5654E">
      <w:p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 DSE apoyara al equipo designado de monitoria (contratista independiente contratado por DEPR) en la realización de un plan de monitoria que incluya las escuelas privadas. Durante la evaluación de riesgos establecida para seleccionar la muestra de las escuelas que serán monitoreadas la DSE proveerá retroalimentación basada en sus previas interacciones con las escuelas privadas. De esta manera, el DEPR asegura que la muestra seleccionada de estas escuelas también será visitada para validar el uso y manejo adecuado de los materiales, equipos y otros recursos financiados por este programa.</w:t>
      </w:r>
      <w:r w:rsidR="00201E79" w:rsidRPr="00BB36A5">
        <w:rPr>
          <w:rFonts w:asciiTheme="majorHAnsi" w:hAnsiTheme="majorHAnsi" w:cstheme="majorHAnsi"/>
          <w:color w:val="000000" w:themeColor="text1"/>
          <w:lang w:val="es-PR"/>
        </w:rPr>
        <w:t xml:space="preserve">  Se creó una rúbrica detallada de monitoreo para las escuelas privadas que ha estado en uso durante varios meses a medida que continuamos las actividades de monitoreo virtual y a distancia de las mismas. Los documentos archiva</w:t>
      </w:r>
      <w:r w:rsidR="00A95252" w:rsidRPr="00BB36A5">
        <w:rPr>
          <w:rFonts w:asciiTheme="majorHAnsi" w:hAnsiTheme="majorHAnsi" w:cstheme="majorHAnsi"/>
          <w:color w:val="000000" w:themeColor="text1"/>
          <w:lang w:val="es-PR"/>
        </w:rPr>
        <w:t>dos</w:t>
      </w:r>
      <w:r w:rsidR="00201E79" w:rsidRPr="00BB36A5">
        <w:rPr>
          <w:rFonts w:asciiTheme="majorHAnsi" w:hAnsiTheme="majorHAnsi" w:cstheme="majorHAnsi"/>
          <w:color w:val="000000" w:themeColor="text1"/>
          <w:lang w:val="es-PR"/>
        </w:rPr>
        <w:t xml:space="preserve"> están siendo revisados por el monitor</w:t>
      </w:r>
      <w:r w:rsidR="00A95252" w:rsidRPr="00BB36A5">
        <w:rPr>
          <w:rFonts w:asciiTheme="majorHAnsi" w:hAnsiTheme="majorHAnsi" w:cstheme="majorHAnsi"/>
          <w:color w:val="000000" w:themeColor="text1"/>
          <w:lang w:val="es-PR"/>
        </w:rPr>
        <w:t xml:space="preserve"> externo</w:t>
      </w:r>
      <w:r w:rsidR="00201E79" w:rsidRPr="00BB36A5">
        <w:rPr>
          <w:rFonts w:asciiTheme="majorHAnsi" w:hAnsiTheme="majorHAnsi" w:cstheme="majorHAnsi"/>
          <w:color w:val="000000" w:themeColor="text1"/>
          <w:lang w:val="es-PR"/>
        </w:rPr>
        <w:t xml:space="preserve"> y se ha</w:t>
      </w:r>
      <w:r w:rsidR="00A95252" w:rsidRPr="00BB36A5">
        <w:rPr>
          <w:rFonts w:asciiTheme="majorHAnsi" w:hAnsiTheme="majorHAnsi" w:cstheme="majorHAnsi"/>
          <w:color w:val="000000" w:themeColor="text1"/>
          <w:lang w:val="es-PR"/>
        </w:rPr>
        <w:t>n</w:t>
      </w:r>
      <w:r w:rsidR="00201E79" w:rsidRPr="00BB36A5">
        <w:rPr>
          <w:rFonts w:asciiTheme="majorHAnsi" w:hAnsiTheme="majorHAnsi" w:cstheme="majorHAnsi"/>
          <w:color w:val="000000" w:themeColor="text1"/>
          <w:lang w:val="es-PR"/>
        </w:rPr>
        <w:t xml:space="preserve"> </w:t>
      </w:r>
      <w:r w:rsidR="00A95252" w:rsidRPr="00BB36A5">
        <w:rPr>
          <w:rFonts w:asciiTheme="majorHAnsi" w:hAnsiTheme="majorHAnsi" w:cstheme="majorHAnsi"/>
          <w:color w:val="000000" w:themeColor="text1"/>
          <w:lang w:val="es-PR"/>
        </w:rPr>
        <w:t>hechos</w:t>
      </w:r>
      <w:r w:rsidR="00201E79" w:rsidRPr="00BB36A5">
        <w:rPr>
          <w:rFonts w:asciiTheme="majorHAnsi" w:hAnsiTheme="majorHAnsi" w:cstheme="majorHAnsi"/>
          <w:color w:val="000000" w:themeColor="text1"/>
          <w:lang w:val="es-PR"/>
        </w:rPr>
        <w:t xml:space="preserve"> llamadas y reuniones continuas </w:t>
      </w:r>
      <w:r w:rsidR="00A95252" w:rsidRPr="00BB36A5">
        <w:rPr>
          <w:rFonts w:asciiTheme="majorHAnsi" w:hAnsiTheme="majorHAnsi" w:cstheme="majorHAnsi"/>
          <w:color w:val="000000" w:themeColor="text1"/>
          <w:lang w:val="es-PR"/>
        </w:rPr>
        <w:t xml:space="preserve">de seguimiento </w:t>
      </w:r>
      <w:r w:rsidR="00201E79" w:rsidRPr="00BB36A5">
        <w:rPr>
          <w:rFonts w:asciiTheme="majorHAnsi" w:hAnsiTheme="majorHAnsi" w:cstheme="majorHAnsi"/>
          <w:color w:val="000000" w:themeColor="text1"/>
          <w:lang w:val="es-PR"/>
        </w:rPr>
        <w:t xml:space="preserve">para aclarar las preguntas </w:t>
      </w:r>
      <w:r w:rsidR="00A95252" w:rsidRPr="00BB36A5">
        <w:rPr>
          <w:rFonts w:asciiTheme="majorHAnsi" w:hAnsiTheme="majorHAnsi" w:cstheme="majorHAnsi"/>
          <w:color w:val="000000" w:themeColor="text1"/>
          <w:lang w:val="es-PR"/>
        </w:rPr>
        <w:t>de</w:t>
      </w:r>
      <w:r w:rsidR="00201E79" w:rsidRPr="00BB36A5">
        <w:rPr>
          <w:rFonts w:asciiTheme="majorHAnsi" w:hAnsiTheme="majorHAnsi" w:cstheme="majorHAnsi"/>
          <w:color w:val="000000" w:themeColor="text1"/>
          <w:lang w:val="es-PR"/>
        </w:rPr>
        <w:t xml:space="preserve"> la información que se entregó. Los monitores </w:t>
      </w:r>
      <w:r w:rsidR="001C5D21" w:rsidRPr="00BB36A5">
        <w:rPr>
          <w:rFonts w:asciiTheme="majorHAnsi" w:hAnsiTheme="majorHAnsi" w:cstheme="majorHAnsi"/>
          <w:color w:val="000000" w:themeColor="text1"/>
          <w:lang w:val="es-PR"/>
        </w:rPr>
        <w:t>podrán</w:t>
      </w:r>
      <w:r w:rsidR="00201E79" w:rsidRPr="00BB36A5">
        <w:rPr>
          <w:rFonts w:asciiTheme="majorHAnsi" w:hAnsiTheme="majorHAnsi" w:cstheme="majorHAnsi"/>
          <w:color w:val="000000" w:themeColor="text1"/>
          <w:lang w:val="es-PR"/>
        </w:rPr>
        <w:t xml:space="preserve"> comunicarse con </w:t>
      </w:r>
      <w:r w:rsidR="00A95252" w:rsidRPr="00BB36A5">
        <w:rPr>
          <w:rFonts w:asciiTheme="majorHAnsi" w:hAnsiTheme="majorHAnsi" w:cstheme="majorHAnsi"/>
          <w:color w:val="000000" w:themeColor="text1"/>
          <w:lang w:val="es-PR"/>
        </w:rPr>
        <w:t xml:space="preserve">la oficina del programa </w:t>
      </w:r>
      <w:proofErr w:type="spellStart"/>
      <w:r w:rsidR="00A95252" w:rsidRPr="00BB36A5">
        <w:rPr>
          <w:rFonts w:asciiTheme="majorHAnsi" w:hAnsiTheme="majorHAnsi" w:cstheme="majorHAnsi"/>
          <w:i/>
          <w:iCs/>
          <w:color w:val="000000" w:themeColor="text1"/>
          <w:lang w:val="es-PR"/>
        </w:rPr>
        <w:t>Restart</w:t>
      </w:r>
      <w:proofErr w:type="spellEnd"/>
      <w:r w:rsidR="00201E79" w:rsidRPr="00BB36A5">
        <w:rPr>
          <w:rFonts w:asciiTheme="majorHAnsi" w:hAnsiTheme="majorHAnsi" w:cstheme="majorHAnsi"/>
          <w:color w:val="000000" w:themeColor="text1"/>
          <w:lang w:val="es-PR"/>
        </w:rPr>
        <w:t xml:space="preserve"> para</w:t>
      </w:r>
      <w:r w:rsidR="00A95252" w:rsidRPr="00BB36A5">
        <w:rPr>
          <w:rFonts w:asciiTheme="majorHAnsi" w:hAnsiTheme="majorHAnsi" w:cstheme="majorHAnsi"/>
          <w:color w:val="000000" w:themeColor="text1"/>
          <w:lang w:val="es-PR"/>
        </w:rPr>
        <w:t xml:space="preserve"> </w:t>
      </w:r>
      <w:r w:rsidR="00201E79" w:rsidRPr="00BB36A5">
        <w:rPr>
          <w:rFonts w:asciiTheme="majorHAnsi" w:hAnsiTheme="majorHAnsi" w:cstheme="majorHAnsi"/>
          <w:color w:val="000000" w:themeColor="text1"/>
          <w:lang w:val="es-PR"/>
        </w:rPr>
        <w:t xml:space="preserve">aclarar cualquier información que puedan necesitar.  </w:t>
      </w:r>
    </w:p>
    <w:p w14:paraId="25E1A841" w14:textId="5D009124" w:rsidR="00201E79" w:rsidRPr="00BB36A5" w:rsidRDefault="00201E79" w:rsidP="00D5654E">
      <w:pPr>
        <w:jc w:val="both"/>
        <w:rPr>
          <w:rFonts w:asciiTheme="majorHAnsi" w:hAnsiTheme="majorHAnsi" w:cstheme="majorHAnsi"/>
          <w:color w:val="000000" w:themeColor="text1"/>
          <w:lang w:val="es-PR"/>
        </w:rPr>
      </w:pPr>
    </w:p>
    <w:p w14:paraId="78F7BEC1" w14:textId="77777777" w:rsidR="00D832AA" w:rsidRPr="00BB36A5" w:rsidRDefault="00D832AA" w:rsidP="00D5654E">
      <w:pPr>
        <w:jc w:val="both"/>
        <w:rPr>
          <w:rFonts w:asciiTheme="majorHAnsi" w:hAnsiTheme="majorHAnsi" w:cstheme="majorHAnsi"/>
          <w:color w:val="000000" w:themeColor="text1"/>
          <w:lang w:val="es-PR"/>
        </w:rPr>
      </w:pPr>
    </w:p>
    <w:p w14:paraId="1A3CF16E" w14:textId="49D1EB2F" w:rsidR="002C4B42" w:rsidRPr="00BB36A5" w:rsidRDefault="00801DCC" w:rsidP="000C24C3">
      <w:pPr>
        <w:pStyle w:val="Heading5"/>
        <w:rPr>
          <w:rFonts w:cstheme="majorHAnsi"/>
          <w:lang w:val="es-PR"/>
        </w:rPr>
      </w:pPr>
      <w:r w:rsidRPr="00BB36A5">
        <w:rPr>
          <w:rFonts w:cstheme="majorHAnsi"/>
          <w:lang w:val="es-PR"/>
        </w:rPr>
        <w:t>Proveedor Independiente</w:t>
      </w:r>
    </w:p>
    <w:p w14:paraId="3049E86E" w14:textId="494E6D2B" w:rsidR="002C4B42" w:rsidRPr="00BB36A5" w:rsidRDefault="00515E85"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DEPR ha adquirido</w:t>
      </w:r>
      <w:r w:rsidR="007858DE" w:rsidRPr="00BB36A5">
        <w:rPr>
          <w:rFonts w:asciiTheme="majorHAnsi" w:hAnsiTheme="majorHAnsi" w:cstheme="majorHAnsi"/>
          <w:color w:val="000000" w:themeColor="text1"/>
          <w:lang w:val="es-PR"/>
        </w:rPr>
        <w:t xml:space="preserve"> los servicios de</w:t>
      </w:r>
      <w:r w:rsidRPr="00BB36A5">
        <w:rPr>
          <w:rFonts w:asciiTheme="majorHAnsi" w:hAnsiTheme="majorHAnsi" w:cstheme="majorHAnsi"/>
          <w:color w:val="000000" w:themeColor="text1"/>
          <w:lang w:val="es-PR"/>
        </w:rPr>
        <w:t xml:space="preserve"> un contratista independiente específicamente para a</w:t>
      </w:r>
      <w:r w:rsidR="007858DE" w:rsidRPr="00BB36A5">
        <w:rPr>
          <w:rFonts w:asciiTheme="majorHAnsi" w:hAnsiTheme="majorHAnsi" w:cstheme="majorHAnsi"/>
          <w:color w:val="000000" w:themeColor="text1"/>
          <w:lang w:val="es-PR"/>
        </w:rPr>
        <w:t>poyar</w:t>
      </w:r>
      <w:r w:rsidRPr="00BB36A5">
        <w:rPr>
          <w:rFonts w:asciiTheme="majorHAnsi" w:hAnsiTheme="majorHAnsi" w:cstheme="majorHAnsi"/>
          <w:color w:val="000000" w:themeColor="text1"/>
          <w:lang w:val="es-PR"/>
        </w:rPr>
        <w:t xml:space="preserve"> con la subvención </w:t>
      </w:r>
      <w:r w:rsidR="007858DE" w:rsidRPr="00BB36A5">
        <w:rPr>
          <w:rFonts w:asciiTheme="majorHAnsi" w:hAnsiTheme="majorHAnsi" w:cstheme="majorHAnsi"/>
          <w:color w:val="000000" w:themeColor="text1"/>
          <w:lang w:val="es-PR"/>
        </w:rPr>
        <w:t xml:space="preserve">del Programa </w:t>
      </w:r>
      <w:proofErr w:type="spellStart"/>
      <w:r w:rsidR="007858DE"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El contratista </w:t>
      </w:r>
      <w:r w:rsidR="007858DE" w:rsidRPr="00BB36A5">
        <w:rPr>
          <w:rFonts w:asciiTheme="majorHAnsi" w:hAnsiTheme="majorHAnsi" w:cstheme="majorHAnsi"/>
          <w:color w:val="000000" w:themeColor="text1"/>
          <w:lang w:val="es-PR"/>
        </w:rPr>
        <w:t>brindar</w:t>
      </w:r>
      <w:r w:rsidR="00EC353D" w:rsidRPr="00BB36A5">
        <w:rPr>
          <w:rFonts w:asciiTheme="majorHAnsi" w:hAnsiTheme="majorHAnsi" w:cstheme="majorHAnsi"/>
          <w:color w:val="000000" w:themeColor="text1"/>
          <w:lang w:val="es-PR"/>
        </w:rPr>
        <w:t>á</w:t>
      </w:r>
      <w:r w:rsidR="007858DE" w:rsidRPr="00BB36A5">
        <w:rPr>
          <w:rFonts w:asciiTheme="majorHAnsi" w:hAnsiTheme="majorHAnsi" w:cstheme="majorHAnsi"/>
          <w:color w:val="000000" w:themeColor="text1"/>
          <w:lang w:val="es-PR"/>
        </w:rPr>
        <w:t xml:space="preserve"> asistencia</w:t>
      </w:r>
      <w:r w:rsidRPr="00BB36A5">
        <w:rPr>
          <w:rFonts w:asciiTheme="majorHAnsi" w:hAnsiTheme="majorHAnsi" w:cstheme="majorHAnsi"/>
          <w:color w:val="000000" w:themeColor="text1"/>
          <w:lang w:val="es-PR"/>
        </w:rPr>
        <w:t xml:space="preserve"> a</w:t>
      </w:r>
      <w:r w:rsidR="007858DE" w:rsidRPr="00BB36A5">
        <w:rPr>
          <w:rFonts w:asciiTheme="majorHAnsi" w:hAnsiTheme="majorHAnsi" w:cstheme="majorHAnsi"/>
          <w:color w:val="000000" w:themeColor="text1"/>
          <w:lang w:val="es-PR"/>
        </w:rPr>
        <w:t>l</w:t>
      </w:r>
      <w:r w:rsidRPr="00BB36A5">
        <w:rPr>
          <w:rFonts w:asciiTheme="majorHAnsi" w:hAnsiTheme="majorHAnsi" w:cstheme="majorHAnsi"/>
          <w:color w:val="000000" w:themeColor="text1"/>
          <w:lang w:val="es-PR"/>
        </w:rPr>
        <w:t xml:space="preserve"> DE</w:t>
      </w:r>
      <w:r w:rsidR="007858DE"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con</w:t>
      </w:r>
      <w:r w:rsidR="007858DE" w:rsidRPr="00BB36A5">
        <w:rPr>
          <w:rFonts w:asciiTheme="majorHAnsi" w:hAnsiTheme="majorHAnsi" w:cstheme="majorHAnsi"/>
          <w:color w:val="000000" w:themeColor="text1"/>
          <w:lang w:val="es-PR"/>
        </w:rPr>
        <w:t>:</w:t>
      </w:r>
    </w:p>
    <w:p w14:paraId="1E669290" w14:textId="724D2BD6" w:rsidR="002C4B42" w:rsidRPr="00BB36A5" w:rsidRDefault="007858DE" w:rsidP="00342E9E">
      <w:pPr>
        <w:pStyle w:val="Default"/>
        <w:numPr>
          <w:ilvl w:val="0"/>
          <w:numId w:val="1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Realizar evaluaciones y presentar observaciones sobre políticas y procedimientos relacionados con los requisitos federales para el manejo de subvenciones </w:t>
      </w:r>
    </w:p>
    <w:p w14:paraId="6011668B" w14:textId="662E9CDF" w:rsidR="002C4B42" w:rsidRPr="00BB36A5" w:rsidRDefault="002C4B42" w:rsidP="00342E9E">
      <w:pPr>
        <w:pStyle w:val="Default"/>
        <w:numPr>
          <w:ilvl w:val="0"/>
          <w:numId w:val="1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De</w:t>
      </w:r>
      <w:r w:rsidR="007858DE" w:rsidRPr="00BB36A5">
        <w:rPr>
          <w:rFonts w:asciiTheme="majorHAnsi" w:hAnsiTheme="majorHAnsi" w:cstheme="majorHAnsi"/>
          <w:color w:val="000000" w:themeColor="text1"/>
          <w:lang w:val="es-PR"/>
        </w:rPr>
        <w:t xml:space="preserve">sarrollar </w:t>
      </w:r>
      <w:r w:rsidR="00D771FB" w:rsidRPr="00BB36A5">
        <w:rPr>
          <w:rFonts w:asciiTheme="majorHAnsi" w:hAnsiTheme="majorHAnsi" w:cstheme="majorHAnsi"/>
          <w:color w:val="000000" w:themeColor="text1"/>
          <w:lang w:val="es-PR"/>
        </w:rPr>
        <w:t>instrumentos</w:t>
      </w:r>
      <w:r w:rsidR="007858DE" w:rsidRPr="00BB36A5">
        <w:rPr>
          <w:rFonts w:asciiTheme="majorHAnsi" w:hAnsiTheme="majorHAnsi" w:cstheme="majorHAnsi"/>
          <w:color w:val="000000" w:themeColor="text1"/>
          <w:lang w:val="es-PR"/>
        </w:rPr>
        <w:t xml:space="preserve"> de monitoria</w:t>
      </w:r>
      <w:r w:rsidRPr="00BB36A5">
        <w:rPr>
          <w:rFonts w:asciiTheme="majorHAnsi" w:hAnsiTheme="majorHAnsi" w:cstheme="majorHAnsi"/>
          <w:color w:val="000000" w:themeColor="text1"/>
          <w:lang w:val="es-PR"/>
        </w:rPr>
        <w:t xml:space="preserve"> </w:t>
      </w:r>
      <w:r w:rsidR="007858DE" w:rsidRPr="00BB36A5">
        <w:rPr>
          <w:rFonts w:asciiTheme="majorHAnsi" w:hAnsiTheme="majorHAnsi" w:cstheme="majorHAnsi"/>
          <w:color w:val="000000" w:themeColor="text1"/>
          <w:lang w:val="es-PR"/>
        </w:rPr>
        <w:t>para propósitos de evaluación</w:t>
      </w:r>
      <w:r w:rsidRPr="00BB36A5">
        <w:rPr>
          <w:rFonts w:asciiTheme="majorHAnsi" w:hAnsiTheme="majorHAnsi" w:cstheme="majorHAnsi"/>
          <w:color w:val="000000" w:themeColor="text1"/>
          <w:lang w:val="es-PR"/>
        </w:rPr>
        <w:t xml:space="preserve"> </w:t>
      </w:r>
      <w:r w:rsidR="007858DE" w:rsidRPr="00BB36A5">
        <w:rPr>
          <w:rFonts w:asciiTheme="majorHAnsi" w:hAnsiTheme="majorHAnsi" w:cstheme="majorHAnsi"/>
          <w:color w:val="000000" w:themeColor="text1"/>
          <w:lang w:val="es-PR"/>
        </w:rPr>
        <w:t>para ser implementados por el contratista</w:t>
      </w:r>
    </w:p>
    <w:p w14:paraId="1697C03C" w14:textId="5BD17A36" w:rsidR="002C4B42" w:rsidRPr="00BB36A5" w:rsidRDefault="007858DE" w:rsidP="00342E9E">
      <w:pPr>
        <w:pStyle w:val="Default"/>
        <w:numPr>
          <w:ilvl w:val="0"/>
          <w:numId w:val="1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Apoyar la implementación del programa de monitoria</w:t>
      </w:r>
    </w:p>
    <w:p w14:paraId="56B67A30" w14:textId="41E76FE1" w:rsidR="002C4B42" w:rsidRPr="00BB36A5" w:rsidRDefault="007858DE" w:rsidP="00342E9E">
      <w:pPr>
        <w:pStyle w:val="Default"/>
        <w:numPr>
          <w:ilvl w:val="0"/>
          <w:numId w:val="11"/>
        </w:numPr>
        <w:spacing w:after="9"/>
        <w:ind w:left="360"/>
        <w:jc w:val="both"/>
        <w:rPr>
          <w:rFonts w:asciiTheme="majorHAnsi" w:hAnsiTheme="majorHAnsi" w:cstheme="majorHAnsi"/>
          <w:color w:val="000000" w:themeColor="text1"/>
          <w:lang w:val="es-PR"/>
        </w:rPr>
      </w:pPr>
      <w:bookmarkStart w:id="2" w:name="_Hlk62654457"/>
      <w:r w:rsidRPr="00BB36A5">
        <w:rPr>
          <w:rFonts w:asciiTheme="majorHAnsi" w:hAnsiTheme="majorHAnsi" w:cstheme="majorHAnsi"/>
          <w:color w:val="000000" w:themeColor="text1"/>
          <w:lang w:val="es-PR"/>
        </w:rPr>
        <w:t xml:space="preserve">Asistir </w:t>
      </w:r>
      <w:r w:rsidR="00DE06EB"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las visitas de monitoreo</w:t>
      </w:r>
    </w:p>
    <w:bookmarkEnd w:id="2"/>
    <w:p w14:paraId="317A6CB7" w14:textId="0FE0ADB5" w:rsidR="002C4B42" w:rsidRPr="00BB36A5" w:rsidRDefault="007858DE" w:rsidP="00342E9E">
      <w:pPr>
        <w:pStyle w:val="Default"/>
        <w:numPr>
          <w:ilvl w:val="0"/>
          <w:numId w:val="1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Recopilar y revisar los reportes de monitoria</w:t>
      </w:r>
    </w:p>
    <w:p w14:paraId="40A963D3" w14:textId="1482E163" w:rsidR="002C4B42" w:rsidRPr="00BB36A5" w:rsidRDefault="007858DE" w:rsidP="00342E9E">
      <w:pPr>
        <w:pStyle w:val="Default"/>
        <w:numPr>
          <w:ilvl w:val="0"/>
          <w:numId w:val="11"/>
        </w:numPr>
        <w:spacing w:after="9"/>
        <w:ind w:left="360"/>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Resumir la data que será reportada al</w:t>
      </w:r>
      <w:r w:rsidR="002C4B42" w:rsidRPr="00BB36A5">
        <w:rPr>
          <w:rFonts w:asciiTheme="majorHAnsi" w:hAnsiTheme="majorHAnsi" w:cstheme="majorHAnsi"/>
          <w:color w:val="000000" w:themeColor="text1"/>
          <w:lang w:val="es-PR"/>
        </w:rPr>
        <w:t xml:space="preserve"> USDE</w:t>
      </w:r>
    </w:p>
    <w:p w14:paraId="3D676A19"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435E0FC2" w14:textId="78C12404" w:rsidR="002C4B42" w:rsidRPr="00BB36A5" w:rsidRDefault="007858DE"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proceso de validación de las escuelas privadas será desarrollado e implementado por el contratista e incluirá los instrumentos que se van a utilizar. El contratista independiente apoyara a la DSE con lo siguiente:</w:t>
      </w:r>
    </w:p>
    <w:p w14:paraId="0A8F54AE" w14:textId="1D251E8E" w:rsidR="002C4B42" w:rsidRPr="00BB36A5" w:rsidRDefault="00DE06EB" w:rsidP="00342E9E">
      <w:pPr>
        <w:pStyle w:val="Default"/>
        <w:numPr>
          <w:ilvl w:val="0"/>
          <w:numId w:val="12"/>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De ser necesario</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revisar los procesos establecidos para la disposición de los servicios</w:t>
      </w:r>
    </w:p>
    <w:p w14:paraId="37B04A76" w14:textId="247B09E5" w:rsidR="002C4B42" w:rsidRPr="00BB36A5" w:rsidRDefault="002C4B42" w:rsidP="00342E9E">
      <w:pPr>
        <w:pStyle w:val="Default"/>
        <w:numPr>
          <w:ilvl w:val="0"/>
          <w:numId w:val="12"/>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Monito</w:t>
      </w:r>
      <w:r w:rsidR="00DE06EB" w:rsidRPr="00BB36A5">
        <w:rPr>
          <w:rFonts w:asciiTheme="majorHAnsi" w:hAnsiTheme="majorHAnsi" w:cstheme="majorHAnsi"/>
          <w:color w:val="000000" w:themeColor="text1"/>
          <w:lang w:val="es-PR"/>
        </w:rPr>
        <w:t xml:space="preserve">rear que </w:t>
      </w:r>
      <w:r w:rsidR="007C0631" w:rsidRPr="00BB36A5">
        <w:rPr>
          <w:rFonts w:asciiTheme="majorHAnsi" w:hAnsiTheme="majorHAnsi" w:cstheme="majorHAnsi"/>
          <w:color w:val="000000" w:themeColor="text1"/>
          <w:lang w:val="es-PR"/>
        </w:rPr>
        <w:t>la documentación de apoyo se mantenga actualizada.</w:t>
      </w:r>
      <w:r w:rsidRPr="00BB36A5">
        <w:rPr>
          <w:rFonts w:asciiTheme="majorHAnsi" w:hAnsiTheme="majorHAnsi" w:cstheme="majorHAnsi"/>
          <w:color w:val="000000" w:themeColor="text1"/>
          <w:lang w:val="es-PR"/>
        </w:rPr>
        <w:t xml:space="preserve"> </w:t>
      </w:r>
    </w:p>
    <w:p w14:paraId="2B4CAE03" w14:textId="77777777" w:rsidR="00DE06EB" w:rsidRPr="00BB36A5" w:rsidRDefault="00DE06EB" w:rsidP="00DE06EB">
      <w:pPr>
        <w:pStyle w:val="Default"/>
        <w:numPr>
          <w:ilvl w:val="0"/>
          <w:numId w:val="12"/>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Asistir a las visitas de monitoreo</w:t>
      </w:r>
    </w:p>
    <w:p w14:paraId="14DFE364" w14:textId="2B196339" w:rsidR="002C4B42" w:rsidRPr="00BB36A5" w:rsidRDefault="002C4B42" w:rsidP="0059178F">
      <w:pPr>
        <w:pStyle w:val="Default"/>
        <w:spacing w:after="9"/>
        <w:jc w:val="both"/>
        <w:rPr>
          <w:rFonts w:asciiTheme="majorHAnsi" w:hAnsiTheme="majorHAnsi" w:cstheme="majorHAnsi"/>
          <w:color w:val="000000" w:themeColor="text1"/>
          <w:lang w:val="es-PR"/>
        </w:rPr>
      </w:pPr>
    </w:p>
    <w:p w14:paraId="08005568" w14:textId="06622848" w:rsidR="00D5654E" w:rsidRPr="00BB36A5" w:rsidRDefault="00532B16" w:rsidP="00D5654E">
      <w:pPr>
        <w:pStyle w:val="Heading4"/>
        <w:rPr>
          <w:rFonts w:cstheme="majorHAnsi"/>
          <w:i w:val="0"/>
          <w:iCs w:val="0"/>
          <w:lang w:val="es-PR"/>
        </w:rPr>
      </w:pPr>
      <w:r w:rsidRPr="00BB36A5">
        <w:rPr>
          <w:rFonts w:cstheme="majorHAnsi"/>
          <w:i w:val="0"/>
          <w:iCs w:val="0"/>
          <w:lang w:val="es-PR"/>
        </w:rPr>
        <w:t>Metodología</w:t>
      </w:r>
      <w:r w:rsidR="00801DCC" w:rsidRPr="00BB36A5">
        <w:rPr>
          <w:rFonts w:cstheme="majorHAnsi"/>
          <w:i w:val="0"/>
          <w:iCs w:val="0"/>
          <w:lang w:val="es-PR"/>
        </w:rPr>
        <w:t xml:space="preserve"> de Muestreo</w:t>
      </w:r>
    </w:p>
    <w:p w14:paraId="09592C37" w14:textId="4055DD43" w:rsidR="009C326A" w:rsidRPr="00BB36A5" w:rsidRDefault="00F13523" w:rsidP="0059178F">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 xml:space="preserve">Para las escuelas </w:t>
      </w:r>
      <w:r w:rsidR="009C326A" w:rsidRPr="00BB36A5">
        <w:rPr>
          <w:rFonts w:asciiTheme="majorHAnsi" w:hAnsiTheme="majorHAnsi" w:cstheme="majorHAnsi"/>
          <w:color w:val="auto"/>
          <w:lang w:val="es-PR"/>
        </w:rPr>
        <w:t xml:space="preserve">privadas </w:t>
      </w:r>
      <w:r w:rsidRPr="00BB36A5">
        <w:rPr>
          <w:rFonts w:asciiTheme="majorHAnsi" w:hAnsiTheme="majorHAnsi" w:cstheme="majorHAnsi"/>
          <w:color w:val="auto"/>
          <w:lang w:val="es-PR"/>
        </w:rPr>
        <w:t>el DE</w:t>
      </w:r>
      <w:r w:rsidR="009C326A" w:rsidRPr="00BB36A5">
        <w:rPr>
          <w:rFonts w:asciiTheme="majorHAnsi" w:hAnsiTheme="majorHAnsi" w:cstheme="majorHAnsi"/>
          <w:color w:val="auto"/>
          <w:lang w:val="es-PR"/>
        </w:rPr>
        <w:t>PR</w:t>
      </w:r>
      <w:r w:rsidRPr="00BB36A5">
        <w:rPr>
          <w:rFonts w:asciiTheme="majorHAnsi" w:hAnsiTheme="majorHAnsi" w:cstheme="majorHAnsi"/>
          <w:color w:val="auto"/>
          <w:lang w:val="es-PR"/>
        </w:rPr>
        <w:t xml:space="preserve"> establecerá la muestra representativa y </w:t>
      </w:r>
      <w:r w:rsidR="001147C8" w:rsidRPr="00BB36A5">
        <w:rPr>
          <w:rFonts w:asciiTheme="majorHAnsi" w:hAnsiTheme="majorHAnsi" w:cstheme="majorHAnsi"/>
          <w:color w:val="auto"/>
          <w:lang w:val="es-PR"/>
        </w:rPr>
        <w:t xml:space="preserve">el proveedor independiente </w:t>
      </w:r>
      <w:r w:rsidRPr="00BB36A5">
        <w:rPr>
          <w:rFonts w:asciiTheme="majorHAnsi" w:hAnsiTheme="majorHAnsi" w:cstheme="majorHAnsi"/>
          <w:color w:val="auto"/>
          <w:lang w:val="es-PR"/>
        </w:rPr>
        <w:t xml:space="preserve">desarrollará los instrumentos.  </w:t>
      </w:r>
      <w:r w:rsidR="009C326A" w:rsidRPr="00BB36A5">
        <w:rPr>
          <w:rFonts w:asciiTheme="majorHAnsi" w:hAnsiTheme="majorHAnsi" w:cstheme="majorHAnsi"/>
          <w:color w:val="auto"/>
          <w:lang w:val="es-PR"/>
        </w:rPr>
        <w:t>El uso de muestreo estadístico generalmente produce</w:t>
      </w:r>
      <w:r w:rsidRPr="00BB36A5">
        <w:rPr>
          <w:rFonts w:asciiTheme="majorHAnsi" w:hAnsiTheme="majorHAnsi" w:cstheme="majorHAnsi"/>
          <w:color w:val="auto"/>
          <w:lang w:val="es-PR"/>
        </w:rPr>
        <w:t xml:space="preserve"> pruebas más sólidas </w:t>
      </w:r>
      <w:r w:rsidRPr="00BB36A5">
        <w:rPr>
          <w:rFonts w:asciiTheme="majorHAnsi" w:hAnsiTheme="majorHAnsi" w:cstheme="majorHAnsi"/>
          <w:color w:val="auto"/>
          <w:lang w:val="es-PR"/>
        </w:rPr>
        <w:lastRenderedPageBreak/>
        <w:t xml:space="preserve">que las obtenidas </w:t>
      </w:r>
      <w:r w:rsidR="009C326A" w:rsidRPr="00BB36A5">
        <w:rPr>
          <w:rFonts w:asciiTheme="majorHAnsi" w:hAnsiTheme="majorHAnsi" w:cstheme="majorHAnsi"/>
          <w:color w:val="auto"/>
          <w:lang w:val="es-PR"/>
        </w:rPr>
        <w:t>por medio</w:t>
      </w:r>
      <w:r w:rsidRPr="00BB36A5">
        <w:rPr>
          <w:rFonts w:asciiTheme="majorHAnsi" w:hAnsiTheme="majorHAnsi" w:cstheme="majorHAnsi"/>
          <w:color w:val="auto"/>
          <w:lang w:val="es-PR"/>
        </w:rPr>
        <w:t xml:space="preserve"> no estadístic</w:t>
      </w:r>
      <w:r w:rsidR="009C326A" w:rsidRPr="00BB36A5">
        <w:rPr>
          <w:rFonts w:asciiTheme="majorHAnsi" w:hAnsiTheme="majorHAnsi" w:cstheme="majorHAnsi"/>
          <w:color w:val="auto"/>
          <w:lang w:val="es-PR"/>
        </w:rPr>
        <w:t>o</w:t>
      </w:r>
      <w:r w:rsidRPr="00BB36A5">
        <w:rPr>
          <w:rFonts w:asciiTheme="majorHAnsi" w:hAnsiTheme="majorHAnsi" w:cstheme="majorHAnsi"/>
          <w:color w:val="auto"/>
          <w:lang w:val="es-PR"/>
        </w:rPr>
        <w:t>s.  Para determinar el tamaño de la muestra</w:t>
      </w:r>
      <w:r w:rsidR="00EC353D" w:rsidRPr="00BB36A5">
        <w:rPr>
          <w:rFonts w:asciiTheme="majorHAnsi" w:hAnsiTheme="majorHAnsi" w:cstheme="majorHAnsi"/>
          <w:color w:val="auto"/>
          <w:lang w:val="es-PR"/>
        </w:rPr>
        <w:t>,</w:t>
      </w:r>
      <w:r w:rsidRPr="00BB36A5">
        <w:rPr>
          <w:rFonts w:asciiTheme="majorHAnsi" w:hAnsiTheme="majorHAnsi" w:cstheme="majorHAnsi"/>
          <w:color w:val="auto"/>
          <w:lang w:val="es-PR"/>
        </w:rPr>
        <w:t xml:space="preserve"> el programa utiliza </w:t>
      </w:r>
      <w:r w:rsidR="009C326A" w:rsidRPr="00BB36A5">
        <w:rPr>
          <w:rFonts w:asciiTheme="majorHAnsi" w:hAnsiTheme="majorHAnsi" w:cstheme="majorHAnsi"/>
          <w:color w:val="auto"/>
          <w:lang w:val="es-PR"/>
        </w:rPr>
        <w:t>su</w:t>
      </w:r>
      <w:r w:rsidRPr="00BB36A5">
        <w:rPr>
          <w:rFonts w:asciiTheme="majorHAnsi" w:hAnsiTheme="majorHAnsi" w:cstheme="majorHAnsi"/>
          <w:color w:val="auto"/>
          <w:lang w:val="es-PR"/>
        </w:rPr>
        <w:t xml:space="preserve"> juicio para determinar </w:t>
      </w:r>
      <w:r w:rsidR="009C326A" w:rsidRPr="00BB36A5">
        <w:rPr>
          <w:rFonts w:asciiTheme="majorHAnsi" w:hAnsiTheme="majorHAnsi" w:cstheme="majorHAnsi"/>
          <w:color w:val="auto"/>
          <w:lang w:val="es-PR"/>
        </w:rPr>
        <w:t xml:space="preserve">estos </w:t>
      </w:r>
      <w:r w:rsidRPr="00BB36A5">
        <w:rPr>
          <w:rFonts w:asciiTheme="majorHAnsi" w:hAnsiTheme="majorHAnsi" w:cstheme="majorHAnsi"/>
          <w:color w:val="auto"/>
          <w:lang w:val="es-PR"/>
        </w:rPr>
        <w:t xml:space="preserve">tres factores: el nivel de confianza, la tasa </w:t>
      </w:r>
      <w:r w:rsidR="009C326A" w:rsidRPr="00BB36A5">
        <w:rPr>
          <w:rFonts w:asciiTheme="majorHAnsi" w:hAnsiTheme="majorHAnsi" w:cstheme="majorHAnsi"/>
          <w:color w:val="auto"/>
          <w:lang w:val="es-PR"/>
        </w:rPr>
        <w:t>de error aceptable</w:t>
      </w:r>
      <w:r w:rsidRPr="00BB36A5">
        <w:rPr>
          <w:rFonts w:asciiTheme="majorHAnsi" w:hAnsiTheme="majorHAnsi" w:cstheme="majorHAnsi"/>
          <w:color w:val="auto"/>
          <w:lang w:val="es-PR"/>
        </w:rPr>
        <w:t xml:space="preserve"> (tasa máxima de desviaciones de</w:t>
      </w:r>
      <w:r w:rsidR="009C326A" w:rsidRPr="00BB36A5">
        <w:rPr>
          <w:rFonts w:asciiTheme="majorHAnsi" w:hAnsiTheme="majorHAnsi" w:cstheme="majorHAnsi"/>
          <w:color w:val="auto"/>
          <w:lang w:val="es-PR"/>
        </w:rPr>
        <w:t xml:space="preserve"> los </w:t>
      </w:r>
      <w:r w:rsidRPr="00BB36A5">
        <w:rPr>
          <w:rFonts w:asciiTheme="majorHAnsi" w:hAnsiTheme="majorHAnsi" w:cstheme="majorHAnsi"/>
          <w:color w:val="auto"/>
          <w:lang w:val="es-PR"/>
        </w:rPr>
        <w:t>control</w:t>
      </w:r>
      <w:r w:rsidR="009C326A" w:rsidRPr="00BB36A5">
        <w:rPr>
          <w:rFonts w:asciiTheme="majorHAnsi" w:hAnsiTheme="majorHAnsi" w:cstheme="majorHAnsi"/>
          <w:color w:val="auto"/>
          <w:lang w:val="es-PR"/>
        </w:rPr>
        <w:t>es</w:t>
      </w:r>
      <w:r w:rsidRPr="00BB36A5">
        <w:rPr>
          <w:rFonts w:asciiTheme="majorHAnsi" w:hAnsiTheme="majorHAnsi" w:cstheme="majorHAnsi"/>
          <w:color w:val="auto"/>
          <w:lang w:val="es-PR"/>
        </w:rPr>
        <w:t xml:space="preserve"> que el auditor está dispuesto a aceptar sin alterar la evaluación preliminar de la eficacia del control) y la tasa de desviación </w:t>
      </w:r>
      <w:r w:rsidR="009C326A" w:rsidRPr="00BB36A5">
        <w:rPr>
          <w:rFonts w:asciiTheme="majorHAnsi" w:hAnsiTheme="majorHAnsi" w:cstheme="majorHAnsi"/>
          <w:color w:val="auto"/>
          <w:lang w:val="es-PR"/>
        </w:rPr>
        <w:t>estándar de la</w:t>
      </w:r>
      <w:r w:rsidRPr="00BB36A5">
        <w:rPr>
          <w:rFonts w:asciiTheme="majorHAnsi" w:hAnsiTheme="majorHAnsi" w:cstheme="majorHAnsi"/>
          <w:color w:val="auto"/>
          <w:lang w:val="es-PR"/>
        </w:rPr>
        <w:t xml:space="preserve"> población (tasa de error esperada).  Una vez que el oficial determina estos factores, puede usar </w:t>
      </w:r>
      <w:r w:rsidR="009C326A" w:rsidRPr="00BB36A5">
        <w:rPr>
          <w:rFonts w:asciiTheme="majorHAnsi" w:hAnsiTheme="majorHAnsi" w:cstheme="majorHAnsi"/>
          <w:color w:val="auto"/>
          <w:lang w:val="es-PR"/>
        </w:rPr>
        <w:t xml:space="preserve">diferentes tipos de </w:t>
      </w:r>
      <w:r w:rsidRPr="00BB36A5">
        <w:rPr>
          <w:rFonts w:asciiTheme="majorHAnsi" w:hAnsiTheme="majorHAnsi" w:cstheme="majorHAnsi"/>
          <w:color w:val="auto"/>
          <w:lang w:val="es-PR"/>
        </w:rPr>
        <w:t>software como EXCEL</w:t>
      </w:r>
      <w:r w:rsidR="009C326A" w:rsidRPr="00BB36A5">
        <w:rPr>
          <w:rFonts w:asciiTheme="majorHAnsi" w:hAnsiTheme="majorHAnsi" w:cstheme="majorHAnsi"/>
          <w:color w:val="auto"/>
          <w:lang w:val="es-PR"/>
        </w:rPr>
        <w:t>,</w:t>
      </w:r>
      <w:r w:rsidRPr="00BB36A5">
        <w:rPr>
          <w:rFonts w:asciiTheme="majorHAnsi" w:hAnsiTheme="majorHAnsi" w:cstheme="majorHAnsi"/>
          <w:color w:val="auto"/>
          <w:lang w:val="es-PR"/>
        </w:rPr>
        <w:t xml:space="preserve"> SPSS</w:t>
      </w:r>
      <w:r w:rsidR="009C326A" w:rsidRPr="00BB36A5">
        <w:rPr>
          <w:rFonts w:asciiTheme="majorHAnsi" w:hAnsiTheme="majorHAnsi" w:cstheme="majorHAnsi"/>
          <w:color w:val="auto"/>
          <w:lang w:val="es-PR"/>
        </w:rPr>
        <w:t xml:space="preserve"> o las tablas GAO para determinar el tamaño de la muestra y para determinar </w:t>
      </w:r>
      <w:proofErr w:type="spellStart"/>
      <w:r w:rsidR="009C326A" w:rsidRPr="00BB36A5">
        <w:rPr>
          <w:rFonts w:asciiTheme="majorHAnsi" w:hAnsiTheme="majorHAnsi" w:cstheme="majorHAnsi"/>
          <w:color w:val="auto"/>
          <w:lang w:val="es-PR"/>
        </w:rPr>
        <w:t>cuantas</w:t>
      </w:r>
      <w:proofErr w:type="spellEnd"/>
      <w:r w:rsidR="009C326A" w:rsidRPr="00BB36A5">
        <w:rPr>
          <w:rFonts w:asciiTheme="majorHAnsi" w:hAnsiTheme="majorHAnsi" w:cstheme="majorHAnsi"/>
          <w:color w:val="auto"/>
          <w:lang w:val="es-PR"/>
        </w:rPr>
        <w:t xml:space="preserve"> desviaciones el auditor puede encontrar sin tener que alterar o modificar la evaluación de control de riesgo.  </w:t>
      </w:r>
      <w:r w:rsidRPr="00BB36A5">
        <w:rPr>
          <w:rFonts w:asciiTheme="majorHAnsi" w:hAnsiTheme="majorHAnsi" w:cstheme="majorHAnsi"/>
          <w:color w:val="auto"/>
          <w:lang w:val="es-PR"/>
        </w:rPr>
        <w:t xml:space="preserve"> </w:t>
      </w:r>
    </w:p>
    <w:p w14:paraId="1F6B9DC8"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471F2999" w14:textId="4F277551" w:rsidR="000C24C3" w:rsidRPr="00BB36A5" w:rsidRDefault="00801DCC" w:rsidP="000C24C3">
      <w:pPr>
        <w:pStyle w:val="Heading4"/>
        <w:rPr>
          <w:rFonts w:cstheme="majorHAnsi"/>
          <w:i w:val="0"/>
          <w:iCs w:val="0"/>
          <w:lang w:val="es-PR"/>
        </w:rPr>
      </w:pPr>
      <w:r w:rsidRPr="00BB36A5">
        <w:rPr>
          <w:rFonts w:cstheme="majorHAnsi"/>
          <w:i w:val="0"/>
          <w:iCs w:val="0"/>
          <w:lang w:val="es-PR"/>
        </w:rPr>
        <w:t>Procesos Generales de Monitoria</w:t>
      </w:r>
    </w:p>
    <w:p w14:paraId="04233A71" w14:textId="7486C67A" w:rsidR="0030464F" w:rsidRPr="00BB36A5" w:rsidRDefault="0030464F" w:rsidP="000C24C3">
      <w:pPr>
        <w:pStyle w:val="Default"/>
        <w:shd w:val="clear" w:color="auto" w:fill="FFFFFF" w:themeFill="background1"/>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El proceso de monitoria del DEPR consiste de dos componentes principales: monitorias a distancia y presenciales.</w:t>
      </w:r>
      <w:r w:rsidR="000F4C89" w:rsidRPr="00BB36A5">
        <w:rPr>
          <w:rFonts w:asciiTheme="majorHAnsi" w:hAnsiTheme="majorHAnsi" w:cstheme="majorHAnsi"/>
          <w:color w:val="auto"/>
          <w:lang w:val="es-PR"/>
        </w:rPr>
        <w:t xml:space="preserve">  La data es</w:t>
      </w:r>
      <w:r w:rsidRPr="00BB36A5">
        <w:rPr>
          <w:rFonts w:asciiTheme="majorHAnsi" w:hAnsiTheme="majorHAnsi" w:cstheme="majorHAnsi"/>
          <w:color w:val="auto"/>
          <w:lang w:val="es-PR"/>
        </w:rPr>
        <w:t xml:space="preserve"> recopila</w:t>
      </w:r>
      <w:r w:rsidR="000F4C89" w:rsidRPr="00BB36A5">
        <w:rPr>
          <w:rFonts w:asciiTheme="majorHAnsi" w:hAnsiTheme="majorHAnsi" w:cstheme="majorHAnsi"/>
          <w:color w:val="auto"/>
          <w:lang w:val="es-PR"/>
        </w:rPr>
        <w:t>da</w:t>
      </w:r>
      <w:r w:rsidRPr="00BB36A5">
        <w:rPr>
          <w:rFonts w:asciiTheme="majorHAnsi" w:hAnsiTheme="majorHAnsi" w:cstheme="majorHAnsi"/>
          <w:color w:val="auto"/>
          <w:lang w:val="es-PR"/>
        </w:rPr>
        <w:t xml:space="preserve"> durante las monitorias a distancia y presenciales para determinar el cumplimiento de los indicadores de monitoreo. La monitoria a distancia incluye documentos que se encuentran en la nube almacenamiento del DEPR</w:t>
      </w:r>
      <w:r w:rsidR="000F4C89" w:rsidRPr="00BB36A5">
        <w:rPr>
          <w:rFonts w:asciiTheme="majorHAnsi" w:hAnsiTheme="majorHAnsi" w:cstheme="majorHAnsi"/>
          <w:color w:val="auto"/>
          <w:lang w:val="es-PR"/>
        </w:rPr>
        <w:t>, sistema financiero y documentación del programa</w:t>
      </w:r>
      <w:r w:rsidRPr="00BB36A5">
        <w:rPr>
          <w:rFonts w:asciiTheme="majorHAnsi" w:hAnsiTheme="majorHAnsi" w:cstheme="majorHAnsi"/>
          <w:color w:val="auto"/>
          <w:lang w:val="es-PR"/>
        </w:rPr>
        <w:t>.</w:t>
      </w:r>
    </w:p>
    <w:p w14:paraId="6C2496B3"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52B644CA" w14:textId="18975127" w:rsidR="002C4B42" w:rsidRPr="00BB36A5" w:rsidRDefault="0030464F"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Cada escuela/iniciativa seleccionada para monitoria a distancia o presencial va a recibir los siguientes documentos:</w:t>
      </w:r>
    </w:p>
    <w:p w14:paraId="3579EBA6" w14:textId="60BEF7F1" w:rsidR="002C4B42" w:rsidRPr="00BB36A5" w:rsidRDefault="0030464F" w:rsidP="00342E9E">
      <w:pPr>
        <w:pStyle w:val="Default"/>
        <w:numPr>
          <w:ilvl w:val="0"/>
          <w:numId w:val="13"/>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Carta de notificación de monitoria inicial</w:t>
      </w:r>
      <w:r w:rsidR="005C042A" w:rsidRPr="00BB36A5">
        <w:rPr>
          <w:rFonts w:asciiTheme="majorHAnsi" w:hAnsiTheme="majorHAnsi" w:cstheme="majorHAnsi"/>
          <w:color w:val="000000" w:themeColor="text1"/>
          <w:lang w:val="es-PR"/>
        </w:rPr>
        <w:t>/</w:t>
      </w:r>
      <w:r w:rsidR="00EC353D" w:rsidRPr="00BB36A5">
        <w:rPr>
          <w:rFonts w:asciiTheme="majorHAnsi" w:hAnsiTheme="majorHAnsi" w:cstheme="majorHAnsi"/>
          <w:color w:val="000000" w:themeColor="text1"/>
          <w:lang w:val="es-PR"/>
        </w:rPr>
        <w:t xml:space="preserve"> c</w:t>
      </w:r>
      <w:r w:rsidR="005C042A" w:rsidRPr="00BB36A5">
        <w:rPr>
          <w:rFonts w:asciiTheme="majorHAnsi" w:hAnsiTheme="majorHAnsi" w:cstheme="majorHAnsi"/>
          <w:color w:val="000000" w:themeColor="text1"/>
          <w:lang w:val="es-PR"/>
        </w:rPr>
        <w:t>omunicaciones</w:t>
      </w:r>
    </w:p>
    <w:p w14:paraId="6DF6F6B5" w14:textId="771E4040" w:rsidR="0032063B" w:rsidRPr="00BB36A5" w:rsidRDefault="00D771FB" w:rsidP="0032063B">
      <w:pPr>
        <w:pStyle w:val="Default"/>
        <w:numPr>
          <w:ilvl w:val="0"/>
          <w:numId w:val="13"/>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Instrumentos</w:t>
      </w:r>
      <w:r w:rsidR="0030464F" w:rsidRPr="00BB36A5">
        <w:rPr>
          <w:rFonts w:asciiTheme="majorHAnsi" w:hAnsiTheme="majorHAnsi" w:cstheme="majorHAnsi"/>
          <w:color w:val="000000" w:themeColor="text1"/>
          <w:lang w:val="es-PR"/>
        </w:rPr>
        <w:t xml:space="preserve"> de monitoria</w:t>
      </w:r>
      <w:r w:rsidR="0032063B" w:rsidRPr="00BB36A5">
        <w:rPr>
          <w:rFonts w:asciiTheme="majorHAnsi" w:hAnsiTheme="majorHAnsi" w:cstheme="majorHAnsi"/>
          <w:color w:val="000000" w:themeColor="text1"/>
          <w:lang w:val="es-PR"/>
        </w:rPr>
        <w:t xml:space="preserve"> que contiene una hoja de cotejo </w:t>
      </w:r>
      <w:r w:rsidR="0032063B" w:rsidRPr="00BB36A5">
        <w:rPr>
          <w:rFonts w:asciiTheme="majorHAnsi" w:hAnsiTheme="majorHAnsi" w:cstheme="majorHAnsi"/>
          <w:i/>
          <w:iCs/>
          <w:color w:val="000000" w:themeColor="text1"/>
          <w:lang w:val="es-PR"/>
        </w:rPr>
        <w:t>(</w:t>
      </w:r>
      <w:proofErr w:type="spellStart"/>
      <w:r w:rsidR="0032063B" w:rsidRPr="00BB36A5">
        <w:rPr>
          <w:rFonts w:asciiTheme="majorHAnsi" w:hAnsiTheme="majorHAnsi" w:cstheme="majorHAnsi"/>
          <w:i/>
          <w:iCs/>
          <w:color w:val="000000" w:themeColor="text1"/>
          <w:lang w:val="es-PR"/>
        </w:rPr>
        <w:t>checklist</w:t>
      </w:r>
      <w:proofErr w:type="spellEnd"/>
      <w:r w:rsidR="0032063B" w:rsidRPr="00BB36A5">
        <w:rPr>
          <w:rFonts w:asciiTheme="majorHAnsi" w:hAnsiTheme="majorHAnsi" w:cstheme="majorHAnsi"/>
          <w:i/>
          <w:iCs/>
          <w:color w:val="000000" w:themeColor="text1"/>
          <w:lang w:val="es-PR"/>
        </w:rPr>
        <w:t>)</w:t>
      </w:r>
      <w:r w:rsidR="0032063B" w:rsidRPr="00BB36A5">
        <w:rPr>
          <w:rFonts w:asciiTheme="majorHAnsi" w:hAnsiTheme="majorHAnsi" w:cstheme="majorHAnsi"/>
          <w:color w:val="000000" w:themeColor="text1"/>
          <w:lang w:val="es-PR"/>
        </w:rPr>
        <w:t xml:space="preserve"> de los documentos </w:t>
      </w:r>
    </w:p>
    <w:p w14:paraId="05BC05D2" w14:textId="193AB2EB" w:rsidR="002C4B42" w:rsidRPr="00BB36A5" w:rsidRDefault="005C042A" w:rsidP="008C6B72">
      <w:pPr>
        <w:pStyle w:val="Default"/>
        <w:numPr>
          <w:ilvl w:val="0"/>
          <w:numId w:val="13"/>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En el caso de las monitorias a distancia </w:t>
      </w:r>
      <w:r w:rsidR="00934E44"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las escuelas privadas</w:t>
      </w:r>
      <w:r w:rsidR="00934E44" w:rsidRPr="00BB36A5">
        <w:rPr>
          <w:rFonts w:asciiTheme="majorHAnsi" w:hAnsiTheme="majorHAnsi" w:cstheme="majorHAnsi"/>
          <w:color w:val="000000" w:themeColor="text1"/>
          <w:lang w:val="es-PR"/>
        </w:rPr>
        <w:t xml:space="preserve"> el DEPR y el monitor externo están continuamente comunicándose para proceder con los próximos pasos.</w:t>
      </w:r>
      <w:r w:rsidRPr="00BB36A5">
        <w:rPr>
          <w:rFonts w:asciiTheme="majorHAnsi" w:hAnsiTheme="majorHAnsi" w:cstheme="majorHAnsi"/>
          <w:color w:val="000000" w:themeColor="text1"/>
          <w:lang w:val="es-PR"/>
        </w:rPr>
        <w:t xml:space="preserve"> </w:t>
      </w:r>
    </w:p>
    <w:p w14:paraId="4387DA29" w14:textId="77777777" w:rsidR="00934E44" w:rsidRPr="00BB36A5" w:rsidRDefault="00934E44" w:rsidP="00934E44">
      <w:pPr>
        <w:pStyle w:val="Default"/>
        <w:spacing w:after="9"/>
        <w:ind w:left="720"/>
        <w:jc w:val="both"/>
        <w:rPr>
          <w:rFonts w:asciiTheme="majorHAnsi" w:hAnsiTheme="majorHAnsi" w:cstheme="majorHAnsi"/>
          <w:color w:val="000000" w:themeColor="text1"/>
          <w:lang w:val="es-PR"/>
        </w:rPr>
      </w:pPr>
    </w:p>
    <w:p w14:paraId="74066CFB" w14:textId="5A9AD07F" w:rsidR="002A3B62" w:rsidRPr="00BB36A5" w:rsidRDefault="002A3B62"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Las monitorias a distancia incluyen la examinación de algún cumplimiento en específico del programa. Al llevar a cabo la monitoria a distancia la escuela</w:t>
      </w:r>
      <w:r w:rsidR="004D21D9" w:rsidRPr="00BB36A5">
        <w:rPr>
          <w:rFonts w:asciiTheme="majorHAnsi" w:hAnsiTheme="majorHAnsi" w:cstheme="majorHAnsi"/>
          <w:color w:val="000000" w:themeColor="text1"/>
          <w:lang w:val="es-PR"/>
        </w:rPr>
        <w:t>, oficina o iniciativa, el líder</w:t>
      </w:r>
      <w:r w:rsidRPr="00BB36A5">
        <w:rPr>
          <w:rFonts w:asciiTheme="majorHAnsi" w:hAnsiTheme="majorHAnsi" w:cstheme="majorHAnsi"/>
          <w:color w:val="000000" w:themeColor="text1"/>
          <w:lang w:val="es-PR"/>
        </w:rPr>
        <w:t xml:space="preserve"> está obligada a recopilar, organizar y enviar los documentos de monitoreo a</w:t>
      </w:r>
      <w:r w:rsidR="00125BEE" w:rsidRPr="00BB36A5">
        <w:rPr>
          <w:rFonts w:asciiTheme="majorHAnsi" w:hAnsiTheme="majorHAnsi" w:cstheme="majorHAnsi"/>
          <w:color w:val="000000" w:themeColor="text1"/>
          <w:lang w:val="es-PR"/>
        </w:rPr>
        <w:t xml:space="preserve"> la oficina del Programa </w:t>
      </w:r>
      <w:proofErr w:type="spellStart"/>
      <w:r w:rsidR="00125BEE" w:rsidRPr="00BB36A5">
        <w:rPr>
          <w:rFonts w:asciiTheme="majorHAnsi" w:hAnsiTheme="majorHAnsi" w:cstheme="majorHAnsi"/>
          <w:i/>
          <w:iCs/>
          <w:color w:val="000000" w:themeColor="text1"/>
          <w:lang w:val="es-PR"/>
        </w:rPr>
        <w:t>Restart</w:t>
      </w:r>
      <w:proofErr w:type="spellEnd"/>
      <w:r w:rsidR="004D21D9" w:rsidRPr="00BB36A5">
        <w:rPr>
          <w:rFonts w:asciiTheme="majorHAnsi" w:hAnsiTheme="majorHAnsi" w:cstheme="majorHAnsi"/>
          <w:i/>
          <w:iCs/>
          <w:color w:val="000000" w:themeColor="text1"/>
          <w:lang w:val="es-PR"/>
        </w:rPr>
        <w:t xml:space="preserve">.  </w:t>
      </w:r>
      <w:r w:rsidR="004D21D9" w:rsidRPr="00BB36A5">
        <w:rPr>
          <w:rFonts w:asciiTheme="majorHAnsi" w:hAnsiTheme="majorHAnsi" w:cstheme="majorHAnsi"/>
          <w:color w:val="000000" w:themeColor="text1"/>
          <w:lang w:val="es-PR"/>
        </w:rPr>
        <w:t xml:space="preserve">En el caso de las escuelas </w:t>
      </w:r>
      <w:proofErr w:type="spellStart"/>
      <w:r w:rsidR="004D21D9" w:rsidRPr="00BB36A5">
        <w:rPr>
          <w:rFonts w:asciiTheme="majorHAnsi" w:hAnsiTheme="majorHAnsi" w:cstheme="majorHAnsi"/>
          <w:color w:val="000000" w:themeColor="text1"/>
          <w:lang w:val="es-PR"/>
        </w:rPr>
        <w:t>publicas</w:t>
      </w:r>
      <w:proofErr w:type="spellEnd"/>
      <w:r w:rsidR="004D21D9" w:rsidRPr="00BB36A5">
        <w:rPr>
          <w:rFonts w:asciiTheme="majorHAnsi" w:hAnsiTheme="majorHAnsi" w:cstheme="majorHAnsi"/>
          <w:color w:val="000000" w:themeColor="text1"/>
          <w:lang w:val="es-PR"/>
        </w:rPr>
        <w:t xml:space="preserve"> el DEPR ha creado un archivo para cada escuela el cual incluye la documentación de apoyo.  La monitoria a distancia puede comenzar tan pronto se reciban </w:t>
      </w:r>
      <w:r w:rsidR="00B77A42" w:rsidRPr="00BB36A5">
        <w:rPr>
          <w:rFonts w:asciiTheme="majorHAnsi" w:hAnsiTheme="majorHAnsi" w:cstheme="majorHAnsi"/>
          <w:color w:val="000000" w:themeColor="text1"/>
          <w:lang w:val="es-PR"/>
        </w:rPr>
        <w:t xml:space="preserve">copias de </w:t>
      </w:r>
      <w:r w:rsidR="004D21D9" w:rsidRPr="00BB36A5">
        <w:rPr>
          <w:rFonts w:asciiTheme="majorHAnsi" w:hAnsiTheme="majorHAnsi" w:cstheme="majorHAnsi"/>
          <w:color w:val="000000" w:themeColor="text1"/>
          <w:lang w:val="es-PR"/>
        </w:rPr>
        <w:t xml:space="preserve">los documentos electrónicamente </w:t>
      </w:r>
      <w:r w:rsidR="00B77A42" w:rsidRPr="00BB36A5">
        <w:rPr>
          <w:rFonts w:asciiTheme="majorHAnsi" w:hAnsiTheme="majorHAnsi" w:cstheme="majorHAnsi"/>
          <w:color w:val="000000" w:themeColor="text1"/>
          <w:lang w:val="es-PR"/>
        </w:rPr>
        <w:t xml:space="preserve">conjuntamente con la visibilidad de los </w:t>
      </w:r>
      <w:r w:rsidR="004D21D9" w:rsidRPr="00BB36A5">
        <w:rPr>
          <w:rFonts w:asciiTheme="majorHAnsi" w:hAnsiTheme="majorHAnsi" w:cstheme="majorHAnsi"/>
          <w:color w:val="000000" w:themeColor="text1"/>
          <w:lang w:val="es-PR"/>
        </w:rPr>
        <w:t xml:space="preserve">reportes </w:t>
      </w:r>
      <w:r w:rsidR="00B77A42" w:rsidRPr="00BB36A5">
        <w:rPr>
          <w:rFonts w:asciiTheme="majorHAnsi" w:hAnsiTheme="majorHAnsi" w:cstheme="majorHAnsi"/>
          <w:color w:val="000000" w:themeColor="text1"/>
          <w:lang w:val="es-PR"/>
        </w:rPr>
        <w:t>en el sistema financiero del DEPR (SIFDE)</w:t>
      </w:r>
      <w:r w:rsidR="004C4535" w:rsidRPr="00BB36A5">
        <w:rPr>
          <w:rFonts w:asciiTheme="majorHAnsi" w:hAnsiTheme="majorHAnsi" w:cstheme="majorHAnsi"/>
          <w:color w:val="000000" w:themeColor="text1"/>
          <w:lang w:val="es-PR"/>
        </w:rPr>
        <w:t xml:space="preserve"> y cualquier otra documentación solicitada por el monitor</w:t>
      </w:r>
      <w:r w:rsidR="00B77A42" w:rsidRPr="00BB36A5">
        <w:rPr>
          <w:rFonts w:asciiTheme="majorHAnsi" w:hAnsiTheme="majorHAnsi" w:cstheme="majorHAnsi"/>
          <w:color w:val="000000" w:themeColor="text1"/>
          <w:lang w:val="es-PR"/>
        </w:rPr>
        <w:t xml:space="preserve">. </w:t>
      </w:r>
    </w:p>
    <w:p w14:paraId="676041A4" w14:textId="77777777" w:rsidR="002A3B62" w:rsidRPr="00BB36A5" w:rsidRDefault="002A3B62" w:rsidP="0059178F">
      <w:pPr>
        <w:pStyle w:val="Default"/>
        <w:spacing w:after="9"/>
        <w:jc w:val="both"/>
        <w:rPr>
          <w:rFonts w:asciiTheme="majorHAnsi" w:hAnsiTheme="majorHAnsi" w:cstheme="majorHAnsi"/>
          <w:color w:val="000000" w:themeColor="text1"/>
          <w:lang w:val="es-PR"/>
        </w:rPr>
      </w:pPr>
    </w:p>
    <w:p w14:paraId="06967BED" w14:textId="7BEE9717" w:rsidR="006D73BF" w:rsidRPr="00BB36A5" w:rsidRDefault="002A3B62"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w:t>
      </w:r>
      <w:r w:rsidR="009A2FD8"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realiza un</w:t>
      </w:r>
      <w:r w:rsidR="009A2FD8" w:rsidRPr="00BB36A5">
        <w:rPr>
          <w:rFonts w:asciiTheme="majorHAnsi" w:hAnsiTheme="majorHAnsi" w:cstheme="majorHAnsi"/>
          <w:color w:val="000000" w:themeColor="text1"/>
          <w:lang w:val="es-PR"/>
        </w:rPr>
        <w:t xml:space="preserve"> análisis</w:t>
      </w:r>
      <w:r w:rsidRPr="00BB36A5">
        <w:rPr>
          <w:rFonts w:asciiTheme="majorHAnsi" w:hAnsiTheme="majorHAnsi" w:cstheme="majorHAnsi"/>
          <w:color w:val="000000" w:themeColor="text1"/>
          <w:lang w:val="es-PR"/>
        </w:rPr>
        <w:t xml:space="preserve"> detallad</w:t>
      </w:r>
      <w:r w:rsidR="009A2FD8" w:rsidRPr="00BB36A5">
        <w:rPr>
          <w:rFonts w:asciiTheme="majorHAnsi" w:hAnsiTheme="majorHAnsi" w:cstheme="majorHAnsi"/>
          <w:color w:val="000000" w:themeColor="text1"/>
          <w:lang w:val="es-PR"/>
        </w:rPr>
        <w:t>o</w:t>
      </w:r>
      <w:r w:rsidRPr="00BB36A5">
        <w:rPr>
          <w:rFonts w:asciiTheme="majorHAnsi" w:hAnsiTheme="majorHAnsi" w:cstheme="majorHAnsi"/>
          <w:color w:val="000000" w:themeColor="text1"/>
          <w:lang w:val="es-PR"/>
        </w:rPr>
        <w:t xml:space="preserve"> de todos los documentos de monitoreo presentados. Los documentos s</w:t>
      </w:r>
      <w:r w:rsidR="009A2FD8" w:rsidRPr="00BB36A5">
        <w:rPr>
          <w:rFonts w:asciiTheme="majorHAnsi" w:hAnsiTheme="majorHAnsi" w:cstheme="majorHAnsi"/>
          <w:color w:val="000000" w:themeColor="text1"/>
          <w:lang w:val="es-PR"/>
        </w:rPr>
        <w:t>on analizados</w:t>
      </w:r>
      <w:r w:rsidRPr="00BB36A5">
        <w:rPr>
          <w:rFonts w:asciiTheme="majorHAnsi" w:hAnsiTheme="majorHAnsi" w:cstheme="majorHAnsi"/>
          <w:color w:val="000000" w:themeColor="text1"/>
          <w:lang w:val="es-PR"/>
        </w:rPr>
        <w:t xml:space="preserve"> de acuerdo con los indicadores del manejo de los fondos </w:t>
      </w:r>
      <w:proofErr w:type="spellStart"/>
      <w:r w:rsidRPr="00BB36A5">
        <w:rPr>
          <w:rFonts w:asciiTheme="majorHAnsi" w:hAnsiTheme="majorHAnsi" w:cstheme="majorHAnsi"/>
          <w:i/>
          <w:iCs/>
          <w:color w:val="000000" w:themeColor="text1"/>
          <w:lang w:val="es-PR"/>
        </w:rPr>
        <w:t>Restart</w:t>
      </w:r>
      <w:proofErr w:type="spellEnd"/>
      <w:r w:rsidR="00CE70EA" w:rsidRPr="00BB36A5">
        <w:rPr>
          <w:rFonts w:asciiTheme="majorHAnsi" w:hAnsiTheme="majorHAnsi" w:cstheme="majorHAnsi"/>
          <w:color w:val="000000" w:themeColor="text1"/>
          <w:lang w:val="es-PR"/>
        </w:rPr>
        <w:t xml:space="preserve"> si</w:t>
      </w:r>
      <w:r w:rsidR="00B04FE0" w:rsidRPr="00BB36A5">
        <w:rPr>
          <w:rFonts w:asciiTheme="majorHAnsi" w:hAnsiTheme="majorHAnsi" w:cstheme="majorHAnsi"/>
          <w:color w:val="000000" w:themeColor="text1"/>
          <w:lang w:val="es-PR"/>
        </w:rPr>
        <w:t>guiendo</w:t>
      </w:r>
      <w:r w:rsidR="00CE70EA" w:rsidRPr="00BB36A5">
        <w:rPr>
          <w:rFonts w:asciiTheme="majorHAnsi" w:hAnsiTheme="majorHAnsi" w:cstheme="majorHAnsi"/>
          <w:color w:val="000000" w:themeColor="text1"/>
          <w:lang w:val="es-PR"/>
        </w:rPr>
        <w:t xml:space="preserve"> el</w:t>
      </w:r>
      <w:r w:rsidRPr="00BB36A5">
        <w:rPr>
          <w:rFonts w:asciiTheme="majorHAnsi" w:hAnsiTheme="majorHAnsi" w:cstheme="majorHAnsi"/>
          <w:color w:val="000000" w:themeColor="text1"/>
          <w:lang w:val="es-PR"/>
        </w:rPr>
        <w:t xml:space="preserve"> modelo de rendición de cuentas y transparencia. Si se encuentra que los documentos de monitoreo no cumplen con los estándares se requiere algún tipo de acción correctiva. </w:t>
      </w:r>
    </w:p>
    <w:p w14:paraId="3069E8AF" w14:textId="77777777" w:rsidR="006D73BF" w:rsidRPr="00BB36A5" w:rsidRDefault="006D73BF" w:rsidP="0059178F">
      <w:pPr>
        <w:pStyle w:val="Default"/>
        <w:spacing w:after="9"/>
        <w:jc w:val="both"/>
        <w:rPr>
          <w:rFonts w:asciiTheme="majorHAnsi" w:hAnsiTheme="majorHAnsi" w:cstheme="majorHAnsi"/>
          <w:color w:val="000000" w:themeColor="text1"/>
          <w:lang w:val="es-PR"/>
        </w:rPr>
      </w:pPr>
    </w:p>
    <w:p w14:paraId="6170BE85" w14:textId="689E5BA9" w:rsidR="00B27C9F" w:rsidRPr="00BB36A5" w:rsidRDefault="002A3B62"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En este caso, las escuelas</w:t>
      </w:r>
      <w:r w:rsidR="00B04FE0" w:rsidRPr="00BB36A5">
        <w:rPr>
          <w:rFonts w:asciiTheme="majorHAnsi" w:hAnsiTheme="majorHAnsi" w:cstheme="majorHAnsi"/>
          <w:color w:val="000000" w:themeColor="text1"/>
          <w:lang w:val="es-PR"/>
        </w:rPr>
        <w:t xml:space="preserve">, el </w:t>
      </w:r>
      <w:r w:rsidR="00514B80" w:rsidRPr="00BB36A5">
        <w:rPr>
          <w:rFonts w:asciiTheme="majorHAnsi" w:hAnsiTheme="majorHAnsi" w:cstheme="majorHAnsi"/>
          <w:color w:val="000000" w:themeColor="text1"/>
          <w:lang w:val="es-PR"/>
        </w:rPr>
        <w:t>líder de la iniciativa</w:t>
      </w:r>
      <w:r w:rsidR="00B04FE0" w:rsidRPr="00BB36A5">
        <w:rPr>
          <w:rFonts w:asciiTheme="majorHAnsi" w:hAnsiTheme="majorHAnsi" w:cstheme="majorHAnsi"/>
          <w:color w:val="000000" w:themeColor="text1"/>
          <w:lang w:val="es-PR"/>
        </w:rPr>
        <w:t xml:space="preserve"> o la </w:t>
      </w:r>
      <w:r w:rsidR="00514B80" w:rsidRPr="00BB36A5">
        <w:rPr>
          <w:rFonts w:asciiTheme="majorHAnsi" w:hAnsiTheme="majorHAnsi" w:cstheme="majorHAnsi"/>
          <w:color w:val="000000" w:themeColor="text1"/>
          <w:lang w:val="es-PR"/>
        </w:rPr>
        <w:t>oficina</w:t>
      </w:r>
      <w:r w:rsidRPr="00BB36A5">
        <w:rPr>
          <w:rFonts w:asciiTheme="majorHAnsi" w:hAnsiTheme="majorHAnsi" w:cstheme="majorHAnsi"/>
          <w:color w:val="000000" w:themeColor="text1"/>
          <w:lang w:val="es-PR"/>
        </w:rPr>
        <w:t xml:space="preserve"> son informadas de las acciones necesarias que deben tomar y están obligadas a presentar evidencia</w:t>
      </w:r>
      <w:r w:rsidR="00BF503B"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de cumplimiento de acuerdo con </w:t>
      </w:r>
      <w:r w:rsidR="0089460C" w:rsidRPr="00BB36A5">
        <w:rPr>
          <w:rFonts w:asciiTheme="majorHAnsi" w:hAnsiTheme="majorHAnsi" w:cstheme="majorHAnsi"/>
          <w:color w:val="000000" w:themeColor="text1"/>
          <w:lang w:val="es-PR"/>
        </w:rPr>
        <w:t>las comunicaciones</w:t>
      </w:r>
      <w:r w:rsidRPr="00BB36A5">
        <w:rPr>
          <w:rFonts w:asciiTheme="majorHAnsi" w:hAnsiTheme="majorHAnsi" w:cstheme="majorHAnsi"/>
          <w:color w:val="000000" w:themeColor="text1"/>
          <w:lang w:val="es-PR"/>
        </w:rPr>
        <w:t xml:space="preserve"> establecid</w:t>
      </w:r>
      <w:r w:rsidR="00BF503B" w:rsidRPr="00BB36A5">
        <w:rPr>
          <w:rFonts w:asciiTheme="majorHAnsi" w:hAnsiTheme="majorHAnsi" w:cstheme="majorHAnsi"/>
          <w:color w:val="000000" w:themeColor="text1"/>
          <w:lang w:val="es-PR"/>
        </w:rPr>
        <w:t>a</w:t>
      </w:r>
      <w:r w:rsidR="0089460C" w:rsidRPr="00BB36A5">
        <w:rPr>
          <w:rFonts w:asciiTheme="majorHAnsi" w:hAnsiTheme="majorHAnsi" w:cstheme="majorHAnsi"/>
          <w:color w:val="000000" w:themeColor="text1"/>
          <w:lang w:val="es-PR"/>
        </w:rPr>
        <w:t xml:space="preserve">s con el </w:t>
      </w:r>
      <w:r w:rsidR="00B1749D" w:rsidRPr="00BB36A5">
        <w:rPr>
          <w:rFonts w:asciiTheme="majorHAnsi" w:hAnsiTheme="majorHAnsi" w:cstheme="majorHAnsi"/>
          <w:color w:val="000000" w:themeColor="text1"/>
          <w:lang w:val="es-PR"/>
        </w:rPr>
        <w:t>coordinador</w:t>
      </w:r>
      <w:r w:rsidR="0089460C" w:rsidRPr="00BB36A5">
        <w:rPr>
          <w:rFonts w:asciiTheme="majorHAnsi" w:hAnsiTheme="majorHAnsi" w:cstheme="majorHAnsi"/>
          <w:color w:val="000000" w:themeColor="text1"/>
          <w:lang w:val="es-PR"/>
        </w:rPr>
        <w:t xml:space="preserve"> de</w:t>
      </w:r>
      <w:r w:rsidR="00B1749D" w:rsidRPr="00BB36A5">
        <w:rPr>
          <w:rFonts w:asciiTheme="majorHAnsi" w:hAnsiTheme="majorHAnsi" w:cstheme="majorHAnsi"/>
          <w:color w:val="000000" w:themeColor="text1"/>
          <w:lang w:val="es-PR"/>
        </w:rPr>
        <w:t>l</w:t>
      </w:r>
      <w:r w:rsidR="0089460C" w:rsidRPr="00BB36A5">
        <w:rPr>
          <w:rFonts w:asciiTheme="majorHAnsi" w:hAnsiTheme="majorHAnsi" w:cstheme="majorHAnsi"/>
          <w:color w:val="000000" w:themeColor="text1"/>
          <w:lang w:val="es-PR"/>
        </w:rPr>
        <w:t xml:space="preserve"> </w:t>
      </w:r>
      <w:r w:rsidR="003A2E9C" w:rsidRPr="00BB36A5">
        <w:rPr>
          <w:rFonts w:asciiTheme="majorHAnsi" w:hAnsiTheme="majorHAnsi" w:cstheme="majorHAnsi"/>
          <w:color w:val="000000" w:themeColor="text1"/>
          <w:lang w:val="es-PR"/>
        </w:rPr>
        <w:t>programa</w:t>
      </w:r>
      <w:r w:rsidR="0089460C" w:rsidRPr="00BB36A5">
        <w:rPr>
          <w:rFonts w:asciiTheme="majorHAnsi" w:hAnsiTheme="majorHAnsi" w:cstheme="majorHAnsi"/>
          <w:color w:val="000000" w:themeColor="text1"/>
          <w:lang w:val="es-PR"/>
        </w:rPr>
        <w:t xml:space="preserve"> </w:t>
      </w:r>
      <w:proofErr w:type="spellStart"/>
      <w:r w:rsidR="0089460C" w:rsidRPr="00BB36A5">
        <w:rPr>
          <w:rFonts w:asciiTheme="majorHAnsi" w:hAnsiTheme="majorHAnsi" w:cstheme="majorHAnsi"/>
          <w:i/>
          <w:iCs/>
          <w:color w:val="000000" w:themeColor="text1"/>
          <w:lang w:val="es-PR"/>
        </w:rPr>
        <w:t>Restart</w:t>
      </w:r>
      <w:proofErr w:type="spellEnd"/>
      <w:r w:rsidR="0089460C" w:rsidRPr="00BB36A5">
        <w:rPr>
          <w:rFonts w:asciiTheme="majorHAnsi" w:hAnsiTheme="majorHAnsi" w:cstheme="majorHAnsi"/>
          <w:color w:val="000000" w:themeColor="text1"/>
          <w:lang w:val="es-PR"/>
        </w:rPr>
        <w:t xml:space="preserve"> del DEPR</w:t>
      </w:r>
      <w:r w:rsidRPr="00BB36A5">
        <w:rPr>
          <w:rFonts w:asciiTheme="majorHAnsi" w:hAnsiTheme="majorHAnsi" w:cstheme="majorHAnsi"/>
          <w:color w:val="000000" w:themeColor="text1"/>
          <w:lang w:val="es-PR"/>
        </w:rPr>
        <w:t xml:space="preserve">. </w:t>
      </w:r>
    </w:p>
    <w:p w14:paraId="54B5B7D9" w14:textId="77777777" w:rsidR="00B27C9F" w:rsidRPr="00BB36A5" w:rsidRDefault="00B27C9F" w:rsidP="0059178F">
      <w:pPr>
        <w:pStyle w:val="Default"/>
        <w:spacing w:after="9"/>
        <w:jc w:val="both"/>
        <w:rPr>
          <w:rFonts w:asciiTheme="majorHAnsi" w:hAnsiTheme="majorHAnsi" w:cstheme="majorHAnsi"/>
          <w:color w:val="000000" w:themeColor="text1"/>
          <w:lang w:val="es-PR"/>
        </w:rPr>
      </w:pPr>
    </w:p>
    <w:p w14:paraId="45025C87" w14:textId="63EC11EB" w:rsidR="002A3B62" w:rsidRPr="00BB36A5" w:rsidRDefault="00B27C9F"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Si es solicitado,</w:t>
      </w:r>
      <w:r w:rsidR="002A3B62" w:rsidRPr="00BB36A5">
        <w:rPr>
          <w:rFonts w:asciiTheme="majorHAnsi" w:hAnsiTheme="majorHAnsi" w:cstheme="majorHAnsi"/>
          <w:color w:val="000000" w:themeColor="text1"/>
          <w:lang w:val="es-PR"/>
        </w:rPr>
        <w:t xml:space="preserve"> </w:t>
      </w:r>
      <w:r w:rsidR="00991EE6" w:rsidRPr="00BB36A5">
        <w:rPr>
          <w:rFonts w:asciiTheme="majorHAnsi" w:hAnsiTheme="majorHAnsi" w:cstheme="majorHAnsi"/>
          <w:color w:val="000000" w:themeColor="text1"/>
          <w:lang w:val="es-PR"/>
        </w:rPr>
        <w:t xml:space="preserve">se ofrecerá </w:t>
      </w:r>
      <w:r w:rsidR="002A3B62" w:rsidRPr="00BB36A5">
        <w:rPr>
          <w:rFonts w:asciiTheme="majorHAnsi" w:hAnsiTheme="majorHAnsi" w:cstheme="majorHAnsi"/>
          <w:color w:val="000000" w:themeColor="text1"/>
          <w:lang w:val="es-PR"/>
        </w:rPr>
        <w:t>asistencia técnica</w:t>
      </w:r>
      <w:r w:rsidRPr="00BB36A5">
        <w:rPr>
          <w:rFonts w:asciiTheme="majorHAnsi" w:hAnsiTheme="majorHAnsi" w:cstheme="majorHAnsi"/>
          <w:color w:val="000000" w:themeColor="text1"/>
          <w:lang w:val="es-PR"/>
        </w:rPr>
        <w:t xml:space="preserve"> por el DEPR y/o por el monitor externo</w:t>
      </w:r>
      <w:r w:rsidR="00B04FE0" w:rsidRPr="00BB36A5">
        <w:rPr>
          <w:rFonts w:asciiTheme="majorHAnsi" w:hAnsiTheme="majorHAnsi" w:cstheme="majorHAnsi"/>
          <w:color w:val="000000" w:themeColor="text1"/>
          <w:lang w:val="es-PR"/>
        </w:rPr>
        <w:t>,</w:t>
      </w:r>
      <w:r w:rsidR="002A3B62" w:rsidRPr="00BB36A5">
        <w:rPr>
          <w:rFonts w:asciiTheme="majorHAnsi" w:hAnsiTheme="majorHAnsi" w:cstheme="majorHAnsi"/>
          <w:color w:val="000000" w:themeColor="text1"/>
          <w:lang w:val="es-PR"/>
        </w:rPr>
        <w:t xml:space="preserve"> </w:t>
      </w:r>
      <w:r w:rsidR="00991EE6" w:rsidRPr="00BB36A5">
        <w:rPr>
          <w:rFonts w:asciiTheme="majorHAnsi" w:hAnsiTheme="majorHAnsi" w:cstheme="majorHAnsi"/>
          <w:color w:val="000000" w:themeColor="text1"/>
          <w:lang w:val="es-PR"/>
        </w:rPr>
        <w:t>según sea necesario a las entidades que están siendo monitoreadas.  En otros casos, el Nivel Central del DEPR necesita compilar documentos e información para proveer al equipo de monitoria externa y contactar a los l</w:t>
      </w:r>
      <w:r w:rsidR="00917BAE" w:rsidRPr="00BB36A5">
        <w:rPr>
          <w:rFonts w:asciiTheme="majorHAnsi" w:hAnsiTheme="majorHAnsi" w:cstheme="majorHAnsi"/>
          <w:color w:val="000000" w:themeColor="text1"/>
          <w:lang w:val="es-PR"/>
        </w:rPr>
        <w:t>í</w:t>
      </w:r>
      <w:r w:rsidR="00991EE6" w:rsidRPr="00BB36A5">
        <w:rPr>
          <w:rFonts w:asciiTheme="majorHAnsi" w:hAnsiTheme="majorHAnsi" w:cstheme="majorHAnsi"/>
          <w:color w:val="000000" w:themeColor="text1"/>
          <w:lang w:val="es-PR"/>
        </w:rPr>
        <w:t xml:space="preserve">deres de las iniciativas.  </w:t>
      </w:r>
    </w:p>
    <w:p w14:paraId="6EE2FBED" w14:textId="77777777" w:rsidR="002A3B62" w:rsidRPr="00BB36A5" w:rsidRDefault="002A3B62" w:rsidP="0059178F">
      <w:pPr>
        <w:pStyle w:val="Default"/>
        <w:spacing w:after="9"/>
        <w:jc w:val="both"/>
        <w:rPr>
          <w:rFonts w:asciiTheme="majorHAnsi" w:hAnsiTheme="majorHAnsi" w:cstheme="majorHAnsi"/>
          <w:color w:val="000000" w:themeColor="text1"/>
          <w:lang w:val="es-PR"/>
        </w:rPr>
      </w:pPr>
    </w:p>
    <w:p w14:paraId="28934D04" w14:textId="109F1C1B" w:rsidR="002C4B42" w:rsidRPr="00BB36A5" w:rsidRDefault="00BF503B"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lastRenderedPageBreak/>
        <w:t xml:space="preserve">El </w:t>
      </w:r>
      <w:r w:rsidR="00E942C0" w:rsidRPr="00BB36A5">
        <w:rPr>
          <w:rFonts w:asciiTheme="majorHAnsi" w:hAnsiTheme="majorHAnsi" w:cstheme="majorHAnsi"/>
          <w:color w:val="000000" w:themeColor="text1"/>
          <w:lang w:val="es-PR"/>
        </w:rPr>
        <w:t xml:space="preserve">equipo de monitoria externa </w:t>
      </w:r>
      <w:r w:rsidRPr="00BB36A5">
        <w:rPr>
          <w:rFonts w:asciiTheme="majorHAnsi" w:hAnsiTheme="majorHAnsi" w:cstheme="majorHAnsi"/>
          <w:color w:val="000000" w:themeColor="text1"/>
          <w:lang w:val="es-PR"/>
        </w:rPr>
        <w:t xml:space="preserve">es asignados para llevar a cabo las monitorias presenciales. El número de </w:t>
      </w:r>
      <w:r w:rsidR="00E942C0" w:rsidRPr="00BB36A5">
        <w:rPr>
          <w:rFonts w:asciiTheme="majorHAnsi" w:hAnsiTheme="majorHAnsi" w:cstheme="majorHAnsi"/>
          <w:color w:val="000000" w:themeColor="text1"/>
          <w:lang w:val="es-PR"/>
        </w:rPr>
        <w:t>recursos</w:t>
      </w:r>
      <w:r w:rsidRPr="00BB36A5">
        <w:rPr>
          <w:rFonts w:asciiTheme="majorHAnsi" w:hAnsiTheme="majorHAnsi" w:cstheme="majorHAnsi"/>
          <w:color w:val="000000" w:themeColor="text1"/>
          <w:lang w:val="es-PR"/>
        </w:rPr>
        <w:t xml:space="preserve"> asignados para realizar la visita va a depender del tamaño de la escuela y los problemas identificados</w:t>
      </w:r>
      <w:r w:rsidR="00E942C0" w:rsidRPr="00BB36A5">
        <w:rPr>
          <w:rFonts w:asciiTheme="majorHAnsi" w:hAnsiTheme="majorHAnsi" w:cstheme="majorHAnsi"/>
          <w:color w:val="000000" w:themeColor="text1"/>
          <w:lang w:val="es-PR"/>
        </w:rPr>
        <w:t xml:space="preserve"> durante el análisis a distancia</w:t>
      </w:r>
      <w:r w:rsidRPr="00BB36A5">
        <w:rPr>
          <w:rFonts w:asciiTheme="majorHAnsi" w:hAnsiTheme="majorHAnsi" w:cstheme="majorHAnsi"/>
          <w:color w:val="000000" w:themeColor="text1"/>
          <w:lang w:val="es-PR"/>
        </w:rPr>
        <w:t>. La monitoria presencial puede tardar desde unas horas hasta varios días según sea necesario para cumplir adecuadamente con todos los requisitos aplicables del programa</w:t>
      </w:r>
      <w:r w:rsidR="00E942C0" w:rsidRPr="00BB36A5">
        <w:rPr>
          <w:rFonts w:asciiTheme="majorHAnsi" w:hAnsiTheme="majorHAnsi" w:cstheme="majorHAnsi"/>
          <w:color w:val="000000" w:themeColor="text1"/>
          <w:lang w:val="es-PR"/>
        </w:rPr>
        <w:t>, basado en caso por caso</w:t>
      </w:r>
      <w:r w:rsidRPr="00BB36A5">
        <w:rPr>
          <w:rFonts w:asciiTheme="majorHAnsi" w:hAnsiTheme="majorHAnsi" w:cstheme="majorHAnsi"/>
          <w:color w:val="000000" w:themeColor="text1"/>
          <w:lang w:val="es-PR"/>
        </w:rPr>
        <w:t>. Para prepararse para una monitoria presencial la escuela debe recopilar y organizar toda la documentación específica del programa solicitada en la carta de notificación de monitoreo y asegurarse de que el director de la escuela o representante autorizado esté disponible durante el proceso de la misma</w:t>
      </w:r>
      <w:r w:rsidR="00E942C0" w:rsidRPr="00BB36A5">
        <w:rPr>
          <w:rFonts w:asciiTheme="majorHAnsi" w:hAnsiTheme="majorHAnsi" w:cstheme="majorHAnsi"/>
          <w:color w:val="000000" w:themeColor="text1"/>
          <w:lang w:val="es-PR"/>
        </w:rPr>
        <w:t xml:space="preserve"> para clarificar cualquier información necesaria para agilizar los procesos</w:t>
      </w:r>
      <w:r w:rsidRPr="00BB36A5">
        <w:rPr>
          <w:rFonts w:asciiTheme="majorHAnsi" w:hAnsiTheme="majorHAnsi" w:cstheme="majorHAnsi"/>
          <w:color w:val="000000" w:themeColor="text1"/>
          <w:lang w:val="es-PR"/>
        </w:rPr>
        <w:t>.</w:t>
      </w:r>
    </w:p>
    <w:p w14:paraId="791DB27D"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0B37E44A" w14:textId="1B5706F0" w:rsidR="00AC3068" w:rsidRPr="00BB36A5" w:rsidRDefault="00AC3068"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w:t>
      </w:r>
      <w:r w:rsidR="00BD1B96"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revisará toda la documentación necesaria incluida en la información solicitada en la carta de notificación de monitoria y podrá entrevistar</w:t>
      </w:r>
      <w:r w:rsidR="00BD1B96" w:rsidRPr="00BB36A5">
        <w:rPr>
          <w:rFonts w:asciiTheme="majorHAnsi" w:hAnsiTheme="majorHAnsi" w:cstheme="majorHAnsi"/>
          <w:color w:val="000000" w:themeColor="text1"/>
          <w:lang w:val="es-PR"/>
        </w:rPr>
        <w:t xml:space="preserve"> o reunirse con el</w:t>
      </w:r>
      <w:r w:rsidRPr="00BB36A5">
        <w:rPr>
          <w:rFonts w:asciiTheme="majorHAnsi" w:hAnsiTheme="majorHAnsi" w:cstheme="majorHAnsi"/>
          <w:color w:val="000000" w:themeColor="text1"/>
          <w:lang w:val="es-PR"/>
        </w:rPr>
        <w:t xml:space="preserve"> personal de la escuela, directores</w:t>
      </w:r>
      <w:r w:rsidR="00BD1B96" w:rsidRPr="00BB36A5">
        <w:rPr>
          <w:rFonts w:asciiTheme="majorHAnsi" w:hAnsiTheme="majorHAnsi" w:cstheme="majorHAnsi"/>
          <w:color w:val="000000" w:themeColor="text1"/>
          <w:lang w:val="es-PR"/>
        </w:rPr>
        <w:t xml:space="preserve"> y</w:t>
      </w:r>
      <w:r w:rsidRPr="00BB36A5">
        <w:rPr>
          <w:rFonts w:asciiTheme="majorHAnsi" w:hAnsiTheme="majorHAnsi" w:cstheme="majorHAnsi"/>
          <w:color w:val="000000" w:themeColor="text1"/>
          <w:lang w:val="es-PR"/>
        </w:rPr>
        <w:t xml:space="preserve"> maestros, tanto individualmente como en grupos, según corresponda. Esta estrategia permite al </w:t>
      </w:r>
      <w:r w:rsidR="00BD1B96"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w:t>
      </w:r>
      <w:r w:rsidR="00BD1B96" w:rsidRPr="00BB36A5">
        <w:rPr>
          <w:rFonts w:asciiTheme="majorHAnsi" w:hAnsiTheme="majorHAnsi" w:cstheme="majorHAnsi"/>
          <w:color w:val="000000" w:themeColor="text1"/>
          <w:lang w:val="es-PR"/>
        </w:rPr>
        <w:t>a</w:t>
      </w:r>
      <w:r w:rsidRPr="00BB36A5">
        <w:rPr>
          <w:rFonts w:asciiTheme="majorHAnsi" w:hAnsiTheme="majorHAnsi" w:cstheme="majorHAnsi"/>
          <w:color w:val="000000" w:themeColor="text1"/>
          <w:lang w:val="es-PR"/>
        </w:rPr>
        <w:t xml:space="preserve"> recopilar</w:t>
      </w:r>
      <w:r w:rsidR="00BD1B96" w:rsidRPr="00BB36A5">
        <w:rPr>
          <w:rFonts w:asciiTheme="majorHAnsi" w:hAnsiTheme="majorHAnsi" w:cstheme="majorHAnsi"/>
          <w:color w:val="000000" w:themeColor="text1"/>
          <w:lang w:val="es-PR"/>
        </w:rPr>
        <w:t xml:space="preserve"> la</w:t>
      </w:r>
      <w:r w:rsidRPr="00BB36A5">
        <w:rPr>
          <w:rFonts w:asciiTheme="majorHAnsi" w:hAnsiTheme="majorHAnsi" w:cstheme="majorHAnsi"/>
          <w:color w:val="000000" w:themeColor="text1"/>
          <w:lang w:val="es-PR"/>
        </w:rPr>
        <w:t xml:space="preserve"> información de</w:t>
      </w:r>
      <w:r w:rsidR="0061762B" w:rsidRPr="00BB36A5">
        <w:rPr>
          <w:rFonts w:asciiTheme="majorHAnsi" w:hAnsiTheme="majorHAnsi" w:cstheme="majorHAnsi"/>
          <w:color w:val="000000" w:themeColor="text1"/>
          <w:lang w:val="es-PR"/>
        </w:rPr>
        <w:t xml:space="preserve"> diferentes puntos de </w:t>
      </w:r>
      <w:r w:rsidRPr="00BB36A5">
        <w:rPr>
          <w:rFonts w:asciiTheme="majorHAnsi" w:hAnsiTheme="majorHAnsi" w:cstheme="majorHAnsi"/>
          <w:color w:val="000000" w:themeColor="text1"/>
          <w:lang w:val="es-PR"/>
        </w:rPr>
        <w:t xml:space="preserve">perspectivas y evaluar </w:t>
      </w:r>
      <w:r w:rsidR="0061762B" w:rsidRPr="00BB36A5">
        <w:rPr>
          <w:rFonts w:asciiTheme="majorHAnsi" w:hAnsiTheme="majorHAnsi" w:cstheme="majorHAnsi"/>
          <w:color w:val="000000" w:themeColor="text1"/>
          <w:lang w:val="es-PR"/>
        </w:rPr>
        <w:t xml:space="preserve">la </w:t>
      </w:r>
      <w:r w:rsidRPr="00BB36A5">
        <w:rPr>
          <w:rFonts w:asciiTheme="majorHAnsi" w:hAnsiTheme="majorHAnsi" w:cstheme="majorHAnsi"/>
          <w:color w:val="000000" w:themeColor="text1"/>
          <w:lang w:val="es-PR"/>
        </w:rPr>
        <w:t xml:space="preserve">mejor administración e implementación del programa </w:t>
      </w:r>
      <w:proofErr w:type="spellStart"/>
      <w:r w:rsidRPr="00BB36A5">
        <w:rPr>
          <w:rFonts w:asciiTheme="majorHAnsi" w:hAnsiTheme="majorHAnsi" w:cstheme="majorHAnsi"/>
          <w:i/>
          <w:iCs/>
          <w:color w:val="000000" w:themeColor="text1"/>
          <w:lang w:val="es-PR"/>
        </w:rPr>
        <w:t>Re</w:t>
      </w:r>
      <w:r w:rsidR="0061762B" w:rsidRPr="00BB36A5">
        <w:rPr>
          <w:rFonts w:asciiTheme="majorHAnsi" w:hAnsiTheme="majorHAnsi" w:cstheme="majorHAnsi"/>
          <w:i/>
          <w:iCs/>
          <w:color w:val="000000" w:themeColor="text1"/>
          <w:lang w:val="es-PR"/>
        </w:rPr>
        <w:t>start</w:t>
      </w:r>
      <w:proofErr w:type="spellEnd"/>
      <w:r w:rsidRPr="00BB36A5">
        <w:rPr>
          <w:rFonts w:asciiTheme="majorHAnsi" w:hAnsiTheme="majorHAnsi" w:cstheme="majorHAnsi"/>
          <w:i/>
          <w:iCs/>
          <w:color w:val="000000" w:themeColor="text1"/>
          <w:lang w:val="es-PR"/>
        </w:rPr>
        <w:t>.</w:t>
      </w:r>
    </w:p>
    <w:p w14:paraId="29D6F6C0" w14:textId="77777777" w:rsidR="00AC3068" w:rsidRPr="00BB36A5" w:rsidRDefault="00AC3068" w:rsidP="0059178F">
      <w:pPr>
        <w:pStyle w:val="Default"/>
        <w:spacing w:after="9"/>
        <w:jc w:val="both"/>
        <w:rPr>
          <w:rFonts w:asciiTheme="majorHAnsi" w:hAnsiTheme="majorHAnsi" w:cstheme="majorHAnsi"/>
          <w:color w:val="000000" w:themeColor="text1"/>
          <w:lang w:val="es-PR"/>
        </w:rPr>
      </w:pPr>
    </w:p>
    <w:p w14:paraId="7D591317" w14:textId="01239277" w:rsidR="002C4B42" w:rsidRPr="00BB36A5" w:rsidRDefault="00840991"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w:t>
      </w:r>
      <w:r w:rsidR="00013CBC"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terminar</w:t>
      </w:r>
      <w:r w:rsidR="00917BAE" w:rsidRPr="00BB36A5">
        <w:rPr>
          <w:rFonts w:asciiTheme="majorHAnsi" w:hAnsiTheme="majorHAnsi" w:cstheme="majorHAnsi"/>
          <w:color w:val="000000" w:themeColor="text1"/>
          <w:lang w:val="es-PR"/>
        </w:rPr>
        <w:t>á</w:t>
      </w:r>
      <w:r w:rsidRPr="00BB36A5">
        <w:rPr>
          <w:rFonts w:asciiTheme="majorHAnsi" w:hAnsiTheme="majorHAnsi" w:cstheme="majorHAnsi"/>
          <w:color w:val="000000" w:themeColor="text1"/>
          <w:lang w:val="es-PR"/>
        </w:rPr>
        <w:t xml:space="preserve"> el proceso de la monitoria presencial con una reunión </w:t>
      </w:r>
      <w:r w:rsidR="00917BAE" w:rsidRPr="00BB36A5">
        <w:rPr>
          <w:rFonts w:asciiTheme="majorHAnsi" w:hAnsiTheme="majorHAnsi" w:cstheme="majorHAnsi"/>
          <w:color w:val="000000" w:themeColor="text1"/>
          <w:lang w:val="es-PR"/>
        </w:rPr>
        <w:t>final</w:t>
      </w:r>
      <w:r w:rsidRPr="00BB36A5">
        <w:rPr>
          <w:rFonts w:asciiTheme="majorHAnsi" w:hAnsiTheme="majorHAnsi" w:cstheme="majorHAnsi"/>
          <w:color w:val="000000" w:themeColor="text1"/>
          <w:lang w:val="es-PR"/>
        </w:rPr>
        <w:t xml:space="preserve"> para discutir l</w:t>
      </w:r>
      <w:r w:rsidR="00013CBC" w:rsidRPr="00BB36A5">
        <w:rPr>
          <w:rFonts w:asciiTheme="majorHAnsi" w:hAnsiTheme="majorHAnsi" w:cstheme="majorHAnsi"/>
          <w:color w:val="000000" w:themeColor="text1"/>
          <w:lang w:val="es-PR"/>
        </w:rPr>
        <w:t>as observaciones</w:t>
      </w:r>
      <w:r w:rsidRPr="00BB36A5">
        <w:rPr>
          <w:rFonts w:asciiTheme="majorHAnsi" w:hAnsiTheme="majorHAnsi" w:cstheme="majorHAnsi"/>
          <w:color w:val="000000" w:themeColor="text1"/>
          <w:lang w:val="es-PR"/>
        </w:rPr>
        <w:t xml:space="preserve">. El </w:t>
      </w:r>
      <w:r w:rsidR="00013CBC"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proveerá un informe formal de la monitoria realizada a la </w:t>
      </w:r>
      <w:r w:rsidR="00013CBC" w:rsidRPr="00BB36A5">
        <w:rPr>
          <w:rFonts w:asciiTheme="majorHAnsi" w:hAnsiTheme="majorHAnsi" w:cstheme="majorHAnsi"/>
          <w:color w:val="000000" w:themeColor="text1"/>
          <w:lang w:val="es-PR"/>
        </w:rPr>
        <w:t xml:space="preserve">oficina del </w:t>
      </w:r>
      <w:r w:rsidR="00917BAE" w:rsidRPr="00BB36A5">
        <w:rPr>
          <w:rFonts w:asciiTheme="majorHAnsi" w:hAnsiTheme="majorHAnsi" w:cstheme="majorHAnsi"/>
          <w:color w:val="000000" w:themeColor="text1"/>
          <w:lang w:val="es-PR"/>
        </w:rPr>
        <w:t>p</w:t>
      </w:r>
      <w:r w:rsidR="00013CBC" w:rsidRPr="00BB36A5">
        <w:rPr>
          <w:rFonts w:asciiTheme="majorHAnsi" w:hAnsiTheme="majorHAnsi" w:cstheme="majorHAnsi"/>
          <w:color w:val="000000" w:themeColor="text1"/>
          <w:lang w:val="es-PR"/>
        </w:rPr>
        <w:t xml:space="preserve">rograma </w:t>
      </w:r>
      <w:proofErr w:type="spellStart"/>
      <w:r w:rsidR="00013CBC" w:rsidRPr="00BB36A5">
        <w:rPr>
          <w:rFonts w:asciiTheme="majorHAnsi" w:hAnsiTheme="majorHAnsi" w:cstheme="majorHAnsi"/>
          <w:i/>
          <w:iCs/>
          <w:color w:val="000000" w:themeColor="text1"/>
          <w:lang w:val="es-PR"/>
        </w:rPr>
        <w:t>Restart</w:t>
      </w:r>
      <w:proofErr w:type="spellEnd"/>
      <w:r w:rsidR="00013CBC" w:rsidRPr="00BB36A5">
        <w:rPr>
          <w:rFonts w:asciiTheme="majorHAnsi" w:hAnsiTheme="majorHAnsi" w:cstheme="majorHAnsi"/>
          <w:color w:val="000000" w:themeColor="text1"/>
          <w:lang w:val="es-PR"/>
        </w:rPr>
        <w:t xml:space="preserve">, la cual </w:t>
      </w:r>
      <w:r w:rsidRPr="00BB36A5">
        <w:rPr>
          <w:rFonts w:asciiTheme="majorHAnsi" w:hAnsiTheme="majorHAnsi" w:cstheme="majorHAnsi"/>
          <w:color w:val="000000" w:themeColor="text1"/>
          <w:lang w:val="es-PR"/>
        </w:rPr>
        <w:t xml:space="preserve">brindará seguimiento adecuado </w:t>
      </w:r>
      <w:r w:rsidR="00013CBC" w:rsidRPr="00BB36A5">
        <w:rPr>
          <w:rFonts w:asciiTheme="majorHAnsi" w:hAnsiTheme="majorHAnsi" w:cstheme="majorHAnsi"/>
          <w:color w:val="000000" w:themeColor="text1"/>
          <w:lang w:val="es-PR"/>
        </w:rPr>
        <w:t>a las escuelas/</w:t>
      </w:r>
      <w:r w:rsidR="00577C0A" w:rsidRPr="00BB36A5">
        <w:rPr>
          <w:rFonts w:asciiTheme="majorHAnsi" w:hAnsiTheme="majorHAnsi" w:cstheme="majorHAnsi"/>
          <w:color w:val="000000" w:themeColor="text1"/>
          <w:lang w:val="es-PR"/>
        </w:rPr>
        <w:t xml:space="preserve"> </w:t>
      </w:r>
      <w:r w:rsidR="00E15463" w:rsidRPr="00BB36A5">
        <w:rPr>
          <w:rFonts w:asciiTheme="majorHAnsi" w:hAnsiTheme="majorHAnsi" w:cstheme="majorHAnsi"/>
          <w:color w:val="000000" w:themeColor="text1"/>
          <w:lang w:val="es-PR"/>
        </w:rPr>
        <w:t>líder</w:t>
      </w:r>
      <w:r w:rsidR="00013CBC" w:rsidRPr="00BB36A5">
        <w:rPr>
          <w:rFonts w:asciiTheme="majorHAnsi" w:hAnsiTheme="majorHAnsi" w:cstheme="majorHAnsi"/>
          <w:color w:val="000000" w:themeColor="text1"/>
          <w:lang w:val="es-PR"/>
        </w:rPr>
        <w:t xml:space="preserve"> de la iniciativa/</w:t>
      </w:r>
      <w:r w:rsidR="00577C0A" w:rsidRPr="00BB36A5">
        <w:rPr>
          <w:rFonts w:asciiTheme="majorHAnsi" w:hAnsiTheme="majorHAnsi" w:cstheme="majorHAnsi"/>
          <w:color w:val="000000" w:themeColor="text1"/>
          <w:lang w:val="es-PR"/>
        </w:rPr>
        <w:t xml:space="preserve"> </w:t>
      </w:r>
      <w:r w:rsidR="00013CBC" w:rsidRPr="00BB36A5">
        <w:rPr>
          <w:rFonts w:asciiTheme="majorHAnsi" w:hAnsiTheme="majorHAnsi" w:cstheme="majorHAnsi"/>
          <w:color w:val="000000" w:themeColor="text1"/>
          <w:lang w:val="es-PR"/>
        </w:rPr>
        <w:t xml:space="preserve">oficina </w:t>
      </w:r>
      <w:r w:rsidRPr="00BB36A5">
        <w:rPr>
          <w:rFonts w:asciiTheme="majorHAnsi" w:hAnsiTheme="majorHAnsi" w:cstheme="majorHAnsi"/>
          <w:color w:val="000000" w:themeColor="text1"/>
          <w:lang w:val="es-PR"/>
        </w:rPr>
        <w:t>para</w:t>
      </w:r>
      <w:r w:rsidR="00013CBC"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los requisitos de las acciones correctiva</w:t>
      </w:r>
      <w:r w:rsidR="00013CBC"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w:t>
      </w:r>
    </w:p>
    <w:p w14:paraId="3B71D209"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5FCA29C6" w14:textId="2E500AEA" w:rsidR="00840991" w:rsidRPr="00BB36A5" w:rsidRDefault="00840991"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La escuela</w:t>
      </w:r>
      <w:r w:rsidR="00D54157" w:rsidRPr="00BB36A5">
        <w:rPr>
          <w:rFonts w:asciiTheme="majorHAnsi" w:hAnsiTheme="majorHAnsi" w:cstheme="majorHAnsi"/>
          <w:color w:val="000000" w:themeColor="text1"/>
          <w:lang w:val="es-PR"/>
        </w:rPr>
        <w:t>/líder de la iniciativa</w:t>
      </w:r>
      <w:r w:rsidRPr="00BB36A5">
        <w:rPr>
          <w:rFonts w:asciiTheme="majorHAnsi" w:hAnsiTheme="majorHAnsi" w:cstheme="majorHAnsi"/>
          <w:color w:val="000000" w:themeColor="text1"/>
          <w:lang w:val="es-PR"/>
        </w:rPr>
        <w:t xml:space="preserve"> debe responder a cualquier hallazgo o señalamiento presentando </w:t>
      </w:r>
      <w:r w:rsidR="00D54157" w:rsidRPr="00BB36A5">
        <w:rPr>
          <w:rFonts w:asciiTheme="majorHAnsi" w:hAnsiTheme="majorHAnsi" w:cstheme="majorHAnsi"/>
          <w:color w:val="000000" w:themeColor="text1"/>
          <w:lang w:val="es-PR"/>
        </w:rPr>
        <w:t>documentación o evidencias adicionales de apoyo</w:t>
      </w:r>
      <w:r w:rsidRPr="00BB36A5">
        <w:rPr>
          <w:rFonts w:asciiTheme="majorHAnsi" w:hAnsiTheme="majorHAnsi" w:cstheme="majorHAnsi"/>
          <w:color w:val="000000" w:themeColor="text1"/>
          <w:lang w:val="es-PR"/>
        </w:rPr>
        <w:t xml:space="preserve"> </w:t>
      </w:r>
      <w:r w:rsidR="00D54157" w:rsidRPr="00BB36A5">
        <w:rPr>
          <w:rFonts w:asciiTheme="majorHAnsi" w:hAnsiTheme="majorHAnsi" w:cstheme="majorHAnsi"/>
          <w:color w:val="000000" w:themeColor="text1"/>
          <w:lang w:val="es-PR"/>
        </w:rPr>
        <w:t xml:space="preserve">a la oficina del director del programa </w:t>
      </w:r>
      <w:proofErr w:type="spellStart"/>
      <w:r w:rsidR="00D54157"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w:t>
      </w:r>
      <w:r w:rsidR="00D54157" w:rsidRPr="00BB36A5">
        <w:rPr>
          <w:rFonts w:asciiTheme="majorHAnsi" w:hAnsiTheme="majorHAnsi" w:cstheme="majorHAnsi"/>
          <w:color w:val="000000" w:themeColor="text1"/>
          <w:lang w:val="es-PR"/>
        </w:rPr>
        <w:t>La documentación adicional de apoyo solicitada será analizada por el monitor para identificar si la misma clarifica las observaciones que aparecen en el reporte de monitoria.</w:t>
      </w:r>
    </w:p>
    <w:p w14:paraId="5AA6C7B5" w14:textId="60CC297B" w:rsidR="00840991" w:rsidRPr="00BB36A5" w:rsidRDefault="00840991" w:rsidP="0059178F">
      <w:pPr>
        <w:pStyle w:val="Default"/>
        <w:spacing w:after="9"/>
        <w:jc w:val="both"/>
        <w:rPr>
          <w:rFonts w:asciiTheme="majorHAnsi" w:hAnsiTheme="majorHAnsi" w:cstheme="majorHAnsi"/>
          <w:color w:val="000000" w:themeColor="text1"/>
          <w:lang w:val="es-PR"/>
        </w:rPr>
      </w:pPr>
    </w:p>
    <w:p w14:paraId="6E55BFC8" w14:textId="1371A873" w:rsidR="002C4B42" w:rsidRPr="00BB36A5" w:rsidRDefault="00BB3C05"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Después de que la escuela</w:t>
      </w:r>
      <w:r w:rsidR="00D54157" w:rsidRPr="00BB36A5">
        <w:rPr>
          <w:rFonts w:asciiTheme="majorHAnsi" w:hAnsiTheme="majorHAnsi" w:cstheme="majorHAnsi"/>
          <w:color w:val="000000" w:themeColor="text1"/>
          <w:lang w:val="es-PR"/>
        </w:rPr>
        <w:t>/líder de la iniciativa</w:t>
      </w:r>
      <w:r w:rsidRPr="00BB36A5">
        <w:rPr>
          <w:rFonts w:asciiTheme="majorHAnsi" w:hAnsiTheme="majorHAnsi" w:cstheme="majorHAnsi"/>
          <w:color w:val="000000" w:themeColor="text1"/>
          <w:lang w:val="es-PR"/>
        </w:rPr>
        <w:t xml:space="preserve"> haya presentado todos los documentos de monitoreo requeridos y el </w:t>
      </w:r>
      <w:r w:rsidR="00D54157" w:rsidRPr="00BB36A5">
        <w:rPr>
          <w:rFonts w:asciiTheme="majorHAnsi" w:hAnsiTheme="majorHAnsi" w:cstheme="majorHAnsi"/>
          <w:color w:val="000000" w:themeColor="text1"/>
          <w:lang w:val="es-PR"/>
        </w:rPr>
        <w:t>DEPR</w:t>
      </w:r>
      <w:r w:rsidRPr="00BB36A5">
        <w:rPr>
          <w:rFonts w:asciiTheme="majorHAnsi" w:hAnsiTheme="majorHAnsi" w:cstheme="majorHAnsi"/>
          <w:color w:val="000000" w:themeColor="text1"/>
          <w:lang w:val="es-PR"/>
        </w:rPr>
        <w:t xml:space="preserve"> haya determinado que el beneficiario ha alcanzado el estado de cumplimiento, </w:t>
      </w:r>
      <w:r w:rsidR="00D54157" w:rsidRPr="00BB36A5">
        <w:rPr>
          <w:rFonts w:asciiTheme="majorHAnsi" w:hAnsiTheme="majorHAnsi" w:cstheme="majorHAnsi"/>
          <w:color w:val="000000" w:themeColor="text1"/>
          <w:lang w:val="es-PR"/>
        </w:rPr>
        <w:t xml:space="preserve">el DEPR enviará </w:t>
      </w:r>
      <w:r w:rsidRPr="00BB36A5">
        <w:rPr>
          <w:rFonts w:asciiTheme="majorHAnsi" w:hAnsiTheme="majorHAnsi" w:cstheme="majorHAnsi"/>
          <w:color w:val="000000" w:themeColor="text1"/>
          <w:lang w:val="es-PR"/>
        </w:rPr>
        <w:t xml:space="preserve">la siguiente documentación al </w:t>
      </w:r>
      <w:r w:rsidR="00D54157" w:rsidRPr="00BB36A5">
        <w:rPr>
          <w:rFonts w:asciiTheme="majorHAnsi" w:hAnsiTheme="majorHAnsi" w:cstheme="majorHAnsi"/>
          <w:color w:val="000000" w:themeColor="text1"/>
          <w:lang w:val="es-PR"/>
        </w:rPr>
        <w:t>líder de la iniciativa/</w:t>
      </w:r>
      <w:r w:rsidRPr="00BB36A5">
        <w:rPr>
          <w:rFonts w:asciiTheme="majorHAnsi" w:hAnsiTheme="majorHAnsi" w:cstheme="majorHAnsi"/>
          <w:color w:val="000000" w:themeColor="text1"/>
          <w:lang w:val="es-PR"/>
        </w:rPr>
        <w:t>director de la escuela o al representante autorizado:</w:t>
      </w:r>
    </w:p>
    <w:p w14:paraId="45FC31C7" w14:textId="21D30FA6" w:rsidR="002C4B42" w:rsidRPr="00BB36A5" w:rsidRDefault="00BB3C05" w:rsidP="00342E9E">
      <w:pPr>
        <w:pStyle w:val="Default"/>
        <w:numPr>
          <w:ilvl w:val="0"/>
          <w:numId w:val="14"/>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Carta formal de cumplimiento</w:t>
      </w:r>
    </w:p>
    <w:p w14:paraId="770E6E90" w14:textId="474217C8" w:rsidR="002C4B42" w:rsidRPr="00BB36A5" w:rsidRDefault="00D771FB" w:rsidP="00342E9E">
      <w:pPr>
        <w:pStyle w:val="Default"/>
        <w:numPr>
          <w:ilvl w:val="0"/>
          <w:numId w:val="14"/>
        </w:numPr>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Instrumentos</w:t>
      </w:r>
      <w:r w:rsidR="00BB3C05" w:rsidRPr="00BB36A5">
        <w:rPr>
          <w:rFonts w:asciiTheme="majorHAnsi" w:hAnsiTheme="majorHAnsi" w:cstheme="majorHAnsi"/>
          <w:color w:val="000000" w:themeColor="text1"/>
          <w:lang w:val="es-PR"/>
        </w:rPr>
        <w:t xml:space="preserve"> de monitoria indicando que todas las áreas han cumplido con los requisitos establecidos</w:t>
      </w:r>
    </w:p>
    <w:p w14:paraId="7FB49141"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6FB20F22" w14:textId="4CB69507" w:rsidR="00F30097" w:rsidRPr="00BB36A5" w:rsidRDefault="00F30097"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Si </w:t>
      </w:r>
      <w:r w:rsidR="006B4BBF" w:rsidRPr="00BB36A5">
        <w:rPr>
          <w:rFonts w:asciiTheme="majorHAnsi" w:hAnsiTheme="majorHAnsi" w:cstheme="majorHAnsi"/>
          <w:color w:val="000000" w:themeColor="text1"/>
          <w:lang w:val="es-PR"/>
        </w:rPr>
        <w:t>es</w:t>
      </w:r>
      <w:r w:rsidRPr="00BB36A5">
        <w:rPr>
          <w:rFonts w:asciiTheme="majorHAnsi" w:hAnsiTheme="majorHAnsi" w:cstheme="majorHAnsi"/>
          <w:color w:val="000000" w:themeColor="text1"/>
          <w:lang w:val="es-PR"/>
        </w:rPr>
        <w:t xml:space="preserve"> determinado </w:t>
      </w:r>
      <w:r w:rsidR="006B4BBF" w:rsidRPr="00BB36A5">
        <w:rPr>
          <w:rFonts w:asciiTheme="majorHAnsi" w:hAnsiTheme="majorHAnsi" w:cstheme="majorHAnsi"/>
          <w:color w:val="000000" w:themeColor="text1"/>
          <w:lang w:val="es-PR"/>
        </w:rPr>
        <w:t xml:space="preserve">que </w:t>
      </w:r>
      <w:r w:rsidRPr="00BB36A5">
        <w:rPr>
          <w:rFonts w:asciiTheme="majorHAnsi" w:hAnsiTheme="majorHAnsi" w:cstheme="majorHAnsi"/>
          <w:color w:val="000000" w:themeColor="text1"/>
          <w:lang w:val="es-PR"/>
        </w:rPr>
        <w:t>la escuela no ha alcanzado el estatus de cumplimiento</w:t>
      </w:r>
      <w:r w:rsidR="006B4BBF" w:rsidRPr="00BB36A5">
        <w:rPr>
          <w:rFonts w:asciiTheme="majorHAnsi" w:hAnsiTheme="majorHAnsi" w:cstheme="majorHAnsi"/>
          <w:color w:val="000000" w:themeColor="text1"/>
          <w:lang w:val="es-PR"/>
        </w:rPr>
        <w:t xml:space="preserve"> al final del proceso explicado arriba</w:t>
      </w:r>
      <w:r w:rsidRPr="00BB36A5">
        <w:rPr>
          <w:rFonts w:asciiTheme="majorHAnsi" w:hAnsiTheme="majorHAnsi" w:cstheme="majorHAnsi"/>
          <w:color w:val="000000" w:themeColor="text1"/>
          <w:lang w:val="es-PR"/>
        </w:rPr>
        <w:t xml:space="preserve">, la escuela está sujeta a </w:t>
      </w:r>
      <w:r w:rsidR="00E15463" w:rsidRPr="00BB36A5">
        <w:rPr>
          <w:rFonts w:asciiTheme="majorHAnsi" w:hAnsiTheme="majorHAnsi" w:cstheme="majorHAnsi"/>
          <w:color w:val="000000" w:themeColor="text1"/>
          <w:lang w:val="es-PR"/>
        </w:rPr>
        <w:t>que se le pida información/documentación adicional para poder resolver alguna excepción señalada o cerrar el caso</w:t>
      </w:r>
      <w:r w:rsidRPr="00BB36A5">
        <w:rPr>
          <w:rFonts w:asciiTheme="majorHAnsi" w:hAnsiTheme="majorHAnsi" w:cstheme="majorHAnsi"/>
          <w:color w:val="000000" w:themeColor="text1"/>
          <w:lang w:val="es-PR"/>
        </w:rPr>
        <w:t>.</w:t>
      </w:r>
      <w:r w:rsidR="00E15463" w:rsidRPr="00BB36A5">
        <w:rPr>
          <w:rFonts w:asciiTheme="majorHAnsi" w:hAnsiTheme="majorHAnsi" w:cstheme="majorHAnsi"/>
          <w:color w:val="000000" w:themeColor="text1"/>
          <w:lang w:val="es-PR"/>
        </w:rPr>
        <w:t xml:space="preserve">  Debido a la pandemia del COVID</w:t>
      </w:r>
      <w:r w:rsidR="00577C0A" w:rsidRPr="00BB36A5">
        <w:rPr>
          <w:rFonts w:asciiTheme="majorHAnsi" w:hAnsiTheme="majorHAnsi" w:cstheme="majorHAnsi"/>
          <w:color w:val="000000" w:themeColor="text1"/>
          <w:lang w:val="es-PR"/>
        </w:rPr>
        <w:t xml:space="preserve"> </w:t>
      </w:r>
      <w:r w:rsidR="00E15463" w:rsidRPr="00BB36A5">
        <w:rPr>
          <w:rFonts w:asciiTheme="majorHAnsi" w:hAnsiTheme="majorHAnsi" w:cstheme="majorHAnsi"/>
          <w:color w:val="000000" w:themeColor="text1"/>
          <w:lang w:val="es-PR"/>
        </w:rPr>
        <w:t>19, actividades presenciales no son recomendadas hasta que la población este vacunada o los riesgo</w:t>
      </w:r>
      <w:r w:rsidR="00624C57" w:rsidRPr="00BB36A5">
        <w:rPr>
          <w:rFonts w:asciiTheme="majorHAnsi" w:hAnsiTheme="majorHAnsi" w:cstheme="majorHAnsi"/>
          <w:color w:val="000000" w:themeColor="text1"/>
          <w:lang w:val="es-PR"/>
        </w:rPr>
        <w:t>s de salud hayan disminuido.</w:t>
      </w:r>
    </w:p>
    <w:p w14:paraId="1618DC9F" w14:textId="77777777" w:rsidR="002C4B42" w:rsidRPr="00BB36A5" w:rsidRDefault="002C4B42" w:rsidP="0059178F">
      <w:pPr>
        <w:pStyle w:val="Default"/>
        <w:spacing w:after="9"/>
        <w:jc w:val="both"/>
        <w:rPr>
          <w:rFonts w:asciiTheme="majorHAnsi" w:hAnsiTheme="majorHAnsi" w:cstheme="majorHAnsi"/>
          <w:color w:val="000000" w:themeColor="text1"/>
          <w:lang w:val="es-PR"/>
        </w:rPr>
      </w:pPr>
    </w:p>
    <w:p w14:paraId="52D48C30" w14:textId="7B357FEC" w:rsidR="002C4B42" w:rsidRPr="00BB36A5" w:rsidRDefault="00F30097" w:rsidP="0059178F">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Como itinerario preliminar para la monitoria de la escuela el </w:t>
      </w:r>
      <w:r w:rsidR="002A6EE2" w:rsidRPr="00BB36A5">
        <w:rPr>
          <w:rFonts w:asciiTheme="majorHAnsi" w:hAnsiTheme="majorHAnsi" w:cstheme="majorHAnsi"/>
          <w:color w:val="000000" w:themeColor="text1"/>
          <w:lang w:val="es-PR"/>
        </w:rPr>
        <w:t>monitor</w:t>
      </w:r>
      <w:r w:rsidRPr="00BB36A5">
        <w:rPr>
          <w:rFonts w:asciiTheme="majorHAnsi" w:hAnsiTheme="majorHAnsi" w:cstheme="majorHAnsi"/>
          <w:color w:val="000000" w:themeColor="text1"/>
          <w:lang w:val="es-PR"/>
        </w:rPr>
        <w:t xml:space="preserve"> ha desarrollado el siguiente itinerario</w:t>
      </w:r>
      <w:r w:rsidR="002C4B42" w:rsidRPr="00BB36A5">
        <w:rPr>
          <w:rFonts w:asciiTheme="majorHAnsi" w:hAnsiTheme="majorHAnsi" w:cstheme="majorHAnsi"/>
          <w:color w:val="000000" w:themeColor="text1"/>
          <w:lang w:val="es-PR"/>
        </w:rPr>
        <w:t xml:space="preserve"> </w:t>
      </w:r>
      <w:r w:rsidR="004001D4" w:rsidRPr="00BB36A5">
        <w:rPr>
          <w:rFonts w:asciiTheme="majorHAnsi" w:hAnsiTheme="majorHAnsi" w:cstheme="majorHAnsi"/>
          <w:color w:val="000000" w:themeColor="text1"/>
          <w:lang w:val="es-PR"/>
        </w:rPr>
        <w:t>de la visita</w:t>
      </w:r>
      <w:r w:rsidR="002C4B42" w:rsidRPr="00BB36A5">
        <w:rPr>
          <w:rFonts w:asciiTheme="majorHAnsi" w:hAnsiTheme="majorHAnsi" w:cstheme="majorHAnsi"/>
          <w:color w:val="000000" w:themeColor="text1"/>
          <w:lang w:val="es-PR"/>
        </w:rPr>
        <w:t>:</w:t>
      </w:r>
    </w:p>
    <w:p w14:paraId="3F12F1C4" w14:textId="77777777" w:rsidR="002C4B42" w:rsidRPr="00BB36A5" w:rsidRDefault="002C4B42" w:rsidP="002C4B42">
      <w:pPr>
        <w:pStyle w:val="Default"/>
        <w:spacing w:after="9"/>
        <w:jc w:val="both"/>
        <w:rPr>
          <w:rFonts w:asciiTheme="majorHAnsi" w:hAnsiTheme="majorHAnsi" w:cstheme="majorHAnsi"/>
          <w:color w:val="000000" w:themeColor="text1"/>
          <w:lang w:val="es-PR"/>
        </w:rPr>
      </w:pPr>
    </w:p>
    <w:tbl>
      <w:tblPr>
        <w:tblStyle w:val="TableGrid"/>
        <w:tblW w:w="10170" w:type="dxa"/>
        <w:tblInd w:w="-5" w:type="dxa"/>
        <w:tblBorders>
          <w:insideH w:val="none" w:sz="0" w:space="0" w:color="auto"/>
          <w:insideV w:val="none" w:sz="0" w:space="0" w:color="auto"/>
        </w:tblBorders>
        <w:tblLook w:val="04A0" w:firstRow="1" w:lastRow="0" w:firstColumn="1" w:lastColumn="0" w:noHBand="0" w:noVBand="1"/>
      </w:tblPr>
      <w:tblGrid>
        <w:gridCol w:w="4038"/>
        <w:gridCol w:w="6132"/>
      </w:tblGrid>
      <w:tr w:rsidR="002C4B42" w:rsidRPr="00BB36A5" w14:paraId="177C1461" w14:textId="77777777" w:rsidTr="0059178F">
        <w:tc>
          <w:tcPr>
            <w:tcW w:w="10170" w:type="dxa"/>
            <w:gridSpan w:val="2"/>
          </w:tcPr>
          <w:p w14:paraId="73B40320" w14:textId="1B7AE166" w:rsidR="002C4B42" w:rsidRPr="00BB36A5" w:rsidRDefault="00801DCC" w:rsidP="0059178F">
            <w:pPr>
              <w:pStyle w:val="Default"/>
              <w:spacing w:after="9"/>
              <w:jc w:val="center"/>
              <w:rPr>
                <w:rFonts w:asciiTheme="majorHAnsi" w:hAnsiTheme="majorHAnsi" w:cstheme="majorHAnsi"/>
                <w:b/>
                <w:color w:val="000000" w:themeColor="text1"/>
                <w:lang w:val="es-PR"/>
              </w:rPr>
            </w:pPr>
            <w:r w:rsidRPr="00BB36A5">
              <w:rPr>
                <w:rFonts w:asciiTheme="majorHAnsi" w:hAnsiTheme="majorHAnsi" w:cstheme="majorHAnsi"/>
                <w:b/>
                <w:color w:val="000000" w:themeColor="text1"/>
                <w:lang w:val="es-PR"/>
              </w:rPr>
              <w:t>Ejemplo</w:t>
            </w:r>
            <w:r w:rsidR="0059178F" w:rsidRPr="00BB36A5">
              <w:rPr>
                <w:rFonts w:asciiTheme="majorHAnsi" w:hAnsiTheme="majorHAnsi" w:cstheme="majorHAnsi"/>
                <w:b/>
                <w:color w:val="000000" w:themeColor="text1"/>
                <w:lang w:val="es-PR"/>
              </w:rPr>
              <w:t xml:space="preserve"> </w:t>
            </w:r>
            <w:r w:rsidRPr="00BB36A5">
              <w:rPr>
                <w:rFonts w:asciiTheme="majorHAnsi" w:hAnsiTheme="majorHAnsi" w:cstheme="majorHAnsi"/>
                <w:b/>
                <w:color w:val="000000" w:themeColor="text1"/>
                <w:lang w:val="es-PR"/>
              </w:rPr>
              <w:t>Itinerario Visita a Escuela</w:t>
            </w:r>
          </w:p>
          <w:p w14:paraId="0FE67751" w14:textId="289B951B" w:rsidR="0059178F" w:rsidRPr="00BB36A5" w:rsidRDefault="0059178F" w:rsidP="0059178F">
            <w:pPr>
              <w:pStyle w:val="Default"/>
              <w:spacing w:after="9"/>
              <w:jc w:val="center"/>
              <w:rPr>
                <w:rFonts w:asciiTheme="majorHAnsi" w:hAnsiTheme="majorHAnsi" w:cstheme="majorHAnsi"/>
                <w:b/>
                <w:color w:val="000000" w:themeColor="text1"/>
                <w:lang w:val="es-PR"/>
              </w:rPr>
            </w:pPr>
          </w:p>
        </w:tc>
      </w:tr>
      <w:tr w:rsidR="002C4B42" w:rsidRPr="00BB36A5" w14:paraId="3BD163CE" w14:textId="77777777" w:rsidTr="0059178F">
        <w:tc>
          <w:tcPr>
            <w:tcW w:w="4038" w:type="dxa"/>
          </w:tcPr>
          <w:p w14:paraId="0E267853"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lastRenderedPageBreak/>
              <w:t>8:00-8:15am</w:t>
            </w:r>
          </w:p>
        </w:tc>
        <w:tc>
          <w:tcPr>
            <w:tcW w:w="6132" w:type="dxa"/>
          </w:tcPr>
          <w:p w14:paraId="74E2CCA2" w14:textId="4AD517A4" w:rsidR="002C4B42" w:rsidRPr="00BB36A5" w:rsidRDefault="00801DCC" w:rsidP="009E6983">
            <w:pPr>
              <w:pStyle w:val="Default"/>
              <w:spacing w:after="9"/>
              <w:jc w:val="both"/>
              <w:rPr>
                <w:rFonts w:asciiTheme="majorHAnsi" w:hAnsiTheme="majorHAnsi" w:cstheme="majorHAnsi"/>
                <w:color w:val="000000" w:themeColor="text1"/>
              </w:rPr>
            </w:pPr>
            <w:r w:rsidRPr="00BB36A5">
              <w:rPr>
                <w:rFonts w:asciiTheme="majorHAnsi" w:hAnsiTheme="majorHAnsi" w:cstheme="majorHAnsi"/>
                <w:color w:val="000000" w:themeColor="text1"/>
              </w:rPr>
              <w:t>Reunion de entrada</w:t>
            </w:r>
          </w:p>
        </w:tc>
      </w:tr>
      <w:tr w:rsidR="002C4B42" w:rsidRPr="00BB36A5" w14:paraId="7272A6CA" w14:textId="77777777" w:rsidTr="0059178F">
        <w:tc>
          <w:tcPr>
            <w:tcW w:w="4038" w:type="dxa"/>
          </w:tcPr>
          <w:p w14:paraId="6AEEA08A"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t>8:15-9:00am</w:t>
            </w:r>
          </w:p>
        </w:tc>
        <w:tc>
          <w:tcPr>
            <w:tcW w:w="6132" w:type="dxa"/>
          </w:tcPr>
          <w:p w14:paraId="5F91ABA4" w14:textId="01D6AA93" w:rsidR="002C4B42" w:rsidRPr="00BB36A5" w:rsidRDefault="00801DCC" w:rsidP="009E6983">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Entrevistas con el Personal de Administración de la Escuela</w:t>
            </w:r>
          </w:p>
        </w:tc>
      </w:tr>
      <w:tr w:rsidR="002C4B42" w:rsidRPr="00BB36A5" w14:paraId="594298CE" w14:textId="77777777" w:rsidTr="0059178F">
        <w:tc>
          <w:tcPr>
            <w:tcW w:w="4038" w:type="dxa"/>
          </w:tcPr>
          <w:p w14:paraId="33758905"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t>9:00-10:00am</w:t>
            </w:r>
          </w:p>
        </w:tc>
        <w:tc>
          <w:tcPr>
            <w:tcW w:w="6132" w:type="dxa"/>
          </w:tcPr>
          <w:p w14:paraId="3F16658D" w14:textId="3F929C1F" w:rsidR="002C4B42" w:rsidRPr="00BB36A5" w:rsidRDefault="00A23F76" w:rsidP="009E6983">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Observación</w:t>
            </w:r>
            <w:r w:rsidR="00801DCC" w:rsidRPr="00BB36A5">
              <w:rPr>
                <w:rFonts w:asciiTheme="majorHAnsi" w:hAnsiTheme="majorHAnsi" w:cstheme="majorHAnsi"/>
                <w:color w:val="000000" w:themeColor="text1"/>
                <w:lang w:val="es-PR"/>
              </w:rPr>
              <w:t xml:space="preserve"> en el </w:t>
            </w:r>
            <w:r w:rsidRPr="00BB36A5">
              <w:rPr>
                <w:rFonts w:asciiTheme="majorHAnsi" w:hAnsiTheme="majorHAnsi" w:cstheme="majorHAnsi"/>
                <w:color w:val="000000" w:themeColor="text1"/>
                <w:lang w:val="es-PR"/>
              </w:rPr>
              <w:t>Salón</w:t>
            </w:r>
            <w:r w:rsidR="00801DCC" w:rsidRPr="00BB36A5">
              <w:rPr>
                <w:rFonts w:asciiTheme="majorHAnsi" w:hAnsiTheme="majorHAnsi" w:cstheme="majorHAnsi"/>
                <w:color w:val="000000" w:themeColor="text1"/>
                <w:lang w:val="es-PR"/>
              </w:rPr>
              <w:t xml:space="preserve"> de Clases</w:t>
            </w:r>
            <w:r w:rsidR="002C4B42" w:rsidRPr="00BB36A5">
              <w:rPr>
                <w:rFonts w:asciiTheme="majorHAnsi" w:hAnsiTheme="majorHAnsi" w:cstheme="majorHAnsi"/>
                <w:color w:val="000000" w:themeColor="text1"/>
                <w:lang w:val="es-PR"/>
              </w:rPr>
              <w:t xml:space="preserve"> &amp; </w:t>
            </w:r>
            <w:r w:rsidR="00801DCC" w:rsidRPr="00BB36A5">
              <w:rPr>
                <w:rFonts w:asciiTheme="majorHAnsi" w:hAnsiTheme="majorHAnsi" w:cstheme="majorHAnsi"/>
                <w:color w:val="000000" w:themeColor="text1"/>
                <w:lang w:val="es-PR"/>
              </w:rPr>
              <w:t>Entrevistas a Estudiantes</w:t>
            </w:r>
            <w:r w:rsidR="002C4B42" w:rsidRPr="00BB36A5">
              <w:rPr>
                <w:rFonts w:asciiTheme="majorHAnsi" w:hAnsiTheme="majorHAnsi" w:cstheme="majorHAnsi"/>
                <w:color w:val="000000" w:themeColor="text1"/>
                <w:lang w:val="es-PR"/>
              </w:rPr>
              <w:t xml:space="preserve"> (</w:t>
            </w:r>
            <w:r w:rsidR="00801DCC" w:rsidRPr="00BB36A5">
              <w:rPr>
                <w:rFonts w:asciiTheme="majorHAnsi" w:hAnsiTheme="majorHAnsi" w:cstheme="majorHAnsi"/>
                <w:color w:val="000000" w:themeColor="text1"/>
                <w:lang w:val="es-PR"/>
              </w:rPr>
              <w:t>Si,</w:t>
            </w:r>
            <w:r w:rsidR="002C4B42" w:rsidRPr="00BB36A5">
              <w:rPr>
                <w:rFonts w:asciiTheme="majorHAnsi" w:hAnsiTheme="majorHAnsi" w:cstheme="majorHAnsi"/>
                <w:color w:val="000000" w:themeColor="text1"/>
                <w:lang w:val="es-PR"/>
              </w:rPr>
              <w:t xml:space="preserve"> ap</w:t>
            </w:r>
            <w:r w:rsidR="00801DCC" w:rsidRPr="00BB36A5">
              <w:rPr>
                <w:rFonts w:asciiTheme="majorHAnsi" w:hAnsiTheme="majorHAnsi" w:cstheme="majorHAnsi"/>
                <w:color w:val="000000" w:themeColor="text1"/>
                <w:lang w:val="es-PR"/>
              </w:rPr>
              <w:t>lica</w:t>
            </w:r>
            <w:r w:rsidR="002C4B42" w:rsidRPr="00BB36A5">
              <w:rPr>
                <w:rFonts w:asciiTheme="majorHAnsi" w:hAnsiTheme="majorHAnsi" w:cstheme="majorHAnsi"/>
                <w:color w:val="000000" w:themeColor="text1"/>
                <w:lang w:val="es-PR"/>
              </w:rPr>
              <w:t>)</w:t>
            </w:r>
          </w:p>
        </w:tc>
      </w:tr>
      <w:tr w:rsidR="002C4B42" w:rsidRPr="00BB36A5" w14:paraId="6C7A93CD" w14:textId="77777777" w:rsidTr="0059178F">
        <w:tc>
          <w:tcPr>
            <w:tcW w:w="4038" w:type="dxa"/>
          </w:tcPr>
          <w:p w14:paraId="6AECF4B8"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t>10:00-11:00am</w:t>
            </w:r>
          </w:p>
        </w:tc>
        <w:tc>
          <w:tcPr>
            <w:tcW w:w="6132" w:type="dxa"/>
          </w:tcPr>
          <w:p w14:paraId="1F75278A" w14:textId="007E8A00" w:rsidR="002C4B42" w:rsidRPr="00BB36A5" w:rsidRDefault="00A23F76" w:rsidP="009E6983">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Revisión de Documentación</w:t>
            </w:r>
            <w:r w:rsidR="002C4B42" w:rsidRPr="00BB36A5">
              <w:rPr>
                <w:rFonts w:asciiTheme="majorHAnsi" w:hAnsiTheme="majorHAnsi" w:cstheme="majorHAnsi"/>
                <w:color w:val="000000" w:themeColor="text1"/>
                <w:lang w:val="es-PR"/>
              </w:rPr>
              <w:t>, inclu</w:t>
            </w:r>
            <w:r w:rsidRPr="00BB36A5">
              <w:rPr>
                <w:rFonts w:asciiTheme="majorHAnsi" w:hAnsiTheme="majorHAnsi" w:cstheme="majorHAnsi"/>
                <w:color w:val="000000" w:themeColor="text1"/>
                <w:lang w:val="es-PR"/>
              </w:rPr>
              <w:t>yendo la</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validación del</w:t>
            </w:r>
            <w:r w:rsidR="002C4B42" w:rsidRPr="00BB36A5">
              <w:rPr>
                <w:rFonts w:asciiTheme="majorHAnsi" w:hAnsiTheme="majorHAnsi" w:cstheme="majorHAnsi"/>
                <w:color w:val="000000" w:themeColor="text1"/>
                <w:lang w:val="es-PR"/>
              </w:rPr>
              <w:t xml:space="preserve"> equip</w:t>
            </w:r>
            <w:r w:rsidRPr="00BB36A5">
              <w:rPr>
                <w:rFonts w:asciiTheme="majorHAnsi" w:hAnsiTheme="majorHAnsi" w:cstheme="majorHAnsi"/>
                <w:color w:val="000000" w:themeColor="text1"/>
                <w:lang w:val="es-PR"/>
              </w:rPr>
              <w:t>o</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y</w:t>
            </w:r>
            <w:r w:rsidR="002C4B42" w:rsidRPr="00BB36A5">
              <w:rPr>
                <w:rFonts w:asciiTheme="majorHAnsi" w:hAnsiTheme="majorHAnsi" w:cstheme="majorHAnsi"/>
                <w:color w:val="000000" w:themeColor="text1"/>
                <w:lang w:val="es-PR"/>
              </w:rPr>
              <w:t xml:space="preserve"> material</w:t>
            </w:r>
            <w:r w:rsidRPr="00BB36A5">
              <w:rPr>
                <w:rFonts w:asciiTheme="majorHAnsi" w:hAnsiTheme="majorHAnsi" w:cstheme="majorHAnsi"/>
                <w:color w:val="000000" w:themeColor="text1"/>
                <w:lang w:val="es-PR"/>
              </w:rPr>
              <w:t>es</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comprados con fondos</w:t>
            </w:r>
            <w:r w:rsidR="002C4B42" w:rsidRPr="00BB36A5">
              <w:rPr>
                <w:rFonts w:asciiTheme="majorHAnsi" w:hAnsiTheme="majorHAnsi" w:cstheme="majorHAnsi"/>
                <w:color w:val="000000" w:themeColor="text1"/>
                <w:lang w:val="es-PR"/>
              </w:rPr>
              <w:t xml:space="preserve"> RESTART.</w:t>
            </w:r>
          </w:p>
        </w:tc>
      </w:tr>
      <w:tr w:rsidR="002C4B42" w:rsidRPr="00BB36A5" w14:paraId="23A3ADDB" w14:textId="77777777" w:rsidTr="0059178F">
        <w:tc>
          <w:tcPr>
            <w:tcW w:w="4038" w:type="dxa"/>
          </w:tcPr>
          <w:p w14:paraId="358501EE"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t>11:00-11:30am</w:t>
            </w:r>
          </w:p>
        </w:tc>
        <w:tc>
          <w:tcPr>
            <w:tcW w:w="6132" w:type="dxa"/>
          </w:tcPr>
          <w:p w14:paraId="4AA7D503" w14:textId="02778704" w:rsidR="002C4B42" w:rsidRPr="00BB36A5" w:rsidRDefault="00A23F76" w:rsidP="009E6983">
            <w:pPr>
              <w:pStyle w:val="Default"/>
              <w:spacing w:after="9"/>
              <w:jc w:val="both"/>
              <w:rPr>
                <w:rFonts w:asciiTheme="majorHAnsi" w:hAnsiTheme="majorHAnsi" w:cstheme="majorHAnsi"/>
                <w:color w:val="000000" w:themeColor="text1"/>
              </w:rPr>
            </w:pPr>
            <w:proofErr w:type="spellStart"/>
            <w:r w:rsidRPr="00BB36A5">
              <w:rPr>
                <w:rFonts w:asciiTheme="majorHAnsi" w:hAnsiTheme="majorHAnsi" w:cstheme="majorHAnsi"/>
                <w:color w:val="000000" w:themeColor="text1"/>
              </w:rPr>
              <w:t>Entrevista</w:t>
            </w:r>
            <w:proofErr w:type="spellEnd"/>
            <w:r w:rsidRPr="00BB36A5">
              <w:rPr>
                <w:rFonts w:asciiTheme="majorHAnsi" w:hAnsiTheme="majorHAnsi" w:cstheme="majorHAnsi"/>
                <w:color w:val="000000" w:themeColor="text1"/>
              </w:rPr>
              <w:t xml:space="preserve"> a Maestros</w:t>
            </w:r>
          </w:p>
        </w:tc>
      </w:tr>
      <w:tr w:rsidR="002C4B42" w:rsidRPr="00BB36A5" w14:paraId="120F38A3" w14:textId="77777777" w:rsidTr="0059178F">
        <w:tc>
          <w:tcPr>
            <w:tcW w:w="4038" w:type="dxa"/>
          </w:tcPr>
          <w:p w14:paraId="59517543" w14:textId="77777777" w:rsidR="002C4B42" w:rsidRPr="00BB36A5" w:rsidRDefault="002C4B42" w:rsidP="009E6983">
            <w:pPr>
              <w:pStyle w:val="Default"/>
              <w:spacing w:after="9"/>
              <w:ind w:left="894"/>
              <w:jc w:val="both"/>
              <w:rPr>
                <w:rFonts w:asciiTheme="majorHAnsi" w:hAnsiTheme="majorHAnsi" w:cstheme="majorHAnsi"/>
                <w:b/>
                <w:color w:val="000000" w:themeColor="text1"/>
              </w:rPr>
            </w:pPr>
            <w:r w:rsidRPr="00BB36A5">
              <w:rPr>
                <w:rFonts w:asciiTheme="majorHAnsi" w:hAnsiTheme="majorHAnsi" w:cstheme="majorHAnsi"/>
                <w:b/>
                <w:color w:val="000000" w:themeColor="text1"/>
              </w:rPr>
              <w:t>11:30-12:00pm</w:t>
            </w:r>
          </w:p>
        </w:tc>
        <w:tc>
          <w:tcPr>
            <w:tcW w:w="6132" w:type="dxa"/>
          </w:tcPr>
          <w:p w14:paraId="250C68DA" w14:textId="77CFE959" w:rsidR="002C4B42" w:rsidRPr="00BB36A5" w:rsidRDefault="00917BAE" w:rsidP="009E6983">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R</w:t>
            </w:r>
            <w:r w:rsidR="00B50C81" w:rsidRPr="00BB36A5">
              <w:rPr>
                <w:rFonts w:asciiTheme="majorHAnsi" w:hAnsiTheme="majorHAnsi" w:cstheme="majorHAnsi"/>
                <w:color w:val="000000" w:themeColor="text1"/>
                <w:lang w:val="es-PR"/>
              </w:rPr>
              <w:t>eunión</w:t>
            </w:r>
            <w:r w:rsidR="002C4B4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final </w:t>
            </w:r>
            <w:r w:rsidR="00B50C81" w:rsidRPr="00BB36A5">
              <w:rPr>
                <w:rFonts w:asciiTheme="majorHAnsi" w:hAnsiTheme="majorHAnsi" w:cstheme="majorHAnsi"/>
                <w:color w:val="000000" w:themeColor="text1"/>
                <w:lang w:val="es-PR"/>
              </w:rPr>
              <w:t>con el administrador de la Escuela</w:t>
            </w:r>
          </w:p>
          <w:p w14:paraId="681F410B" w14:textId="77777777" w:rsidR="002C4B42" w:rsidRPr="00BB36A5" w:rsidRDefault="002C4B42" w:rsidP="009E6983">
            <w:pPr>
              <w:pStyle w:val="Default"/>
              <w:spacing w:after="9"/>
              <w:jc w:val="both"/>
              <w:rPr>
                <w:rFonts w:asciiTheme="majorHAnsi" w:hAnsiTheme="majorHAnsi" w:cstheme="majorHAnsi"/>
                <w:color w:val="000000" w:themeColor="text1"/>
                <w:lang w:val="es-PR"/>
              </w:rPr>
            </w:pPr>
          </w:p>
        </w:tc>
      </w:tr>
    </w:tbl>
    <w:p w14:paraId="6CFC7F6F" w14:textId="77777777" w:rsidR="002C4B42" w:rsidRPr="00BB36A5" w:rsidRDefault="002C4B42" w:rsidP="002C4B42">
      <w:pPr>
        <w:pStyle w:val="Default"/>
        <w:spacing w:after="9"/>
        <w:jc w:val="both"/>
        <w:rPr>
          <w:rFonts w:asciiTheme="majorHAnsi" w:hAnsiTheme="majorHAnsi" w:cstheme="majorHAnsi"/>
          <w:color w:val="000000" w:themeColor="text1"/>
          <w:lang w:val="es-PR"/>
        </w:rPr>
      </w:pPr>
    </w:p>
    <w:p w14:paraId="7EA25020" w14:textId="6077D821" w:rsidR="009F3105" w:rsidRPr="00BB36A5" w:rsidRDefault="002A6EE2" w:rsidP="4F9E87E5">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itinerario de visitas está sujeto a cambios basados en las necesidades de la entidad/oficina/escuela/programa que está siendo monitoreado y debido a los desafíos de la pandemia COVID</w:t>
      </w:r>
      <w:r w:rsidR="00917BAE"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19. Se requiere una comunicación constante entre las partes para abordar cualquier problema que acontezca.</w:t>
      </w:r>
    </w:p>
    <w:p w14:paraId="0693EDC9" w14:textId="77777777" w:rsidR="009F3105" w:rsidRPr="00BB36A5" w:rsidRDefault="009F3105" w:rsidP="4F9E87E5">
      <w:pPr>
        <w:pStyle w:val="Default"/>
        <w:spacing w:after="9"/>
        <w:jc w:val="both"/>
        <w:rPr>
          <w:rFonts w:asciiTheme="majorHAnsi" w:hAnsiTheme="majorHAnsi" w:cstheme="majorHAnsi"/>
          <w:color w:val="000000" w:themeColor="text1"/>
          <w:lang w:val="es-PR"/>
        </w:rPr>
      </w:pPr>
    </w:p>
    <w:p w14:paraId="20EC4D2E" w14:textId="77777777" w:rsidR="0086009A" w:rsidRPr="00BB36A5" w:rsidRDefault="0086009A" w:rsidP="008319C6">
      <w:pPr>
        <w:pStyle w:val="Default"/>
        <w:spacing w:after="9"/>
        <w:jc w:val="both"/>
        <w:rPr>
          <w:rFonts w:asciiTheme="majorHAnsi" w:hAnsiTheme="majorHAnsi" w:cstheme="majorHAnsi"/>
          <w:color w:val="000000" w:themeColor="text1"/>
          <w:lang w:val="es-PR"/>
        </w:rPr>
      </w:pPr>
    </w:p>
    <w:p w14:paraId="2459AF9C" w14:textId="77777777" w:rsidR="003919B7" w:rsidRPr="00BB36A5" w:rsidRDefault="00B94BC3" w:rsidP="00131772">
      <w:pPr>
        <w:pStyle w:val="Default"/>
        <w:spacing w:after="9"/>
        <w:jc w:val="both"/>
        <w:rPr>
          <w:rFonts w:asciiTheme="majorHAnsi" w:hAnsiTheme="majorHAnsi" w:cstheme="majorHAnsi"/>
          <w:color w:val="000000" w:themeColor="text1"/>
        </w:rPr>
      </w:pPr>
      <w:r w:rsidRPr="00BB36A5">
        <w:rPr>
          <w:rFonts w:asciiTheme="majorHAnsi" w:hAnsiTheme="majorHAnsi" w:cstheme="majorHAnsi"/>
          <w:noProof/>
          <w:color w:val="000000" w:themeColor="text1"/>
        </w:rPr>
        <w:drawing>
          <wp:inline distT="0" distB="0" distL="0" distR="0" wp14:anchorId="4761C513" wp14:editId="0CD234D6">
            <wp:extent cx="6400800" cy="2178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178183"/>
                    </a:xfrm>
                    <a:prstGeom prst="rect">
                      <a:avLst/>
                    </a:prstGeom>
                    <a:noFill/>
                    <a:ln>
                      <a:noFill/>
                    </a:ln>
                  </pic:spPr>
                </pic:pic>
              </a:graphicData>
            </a:graphic>
          </wp:inline>
        </w:drawing>
      </w:r>
    </w:p>
    <w:p w14:paraId="6160547D" w14:textId="03B04AE7" w:rsidR="00DF659B" w:rsidRPr="00BB36A5" w:rsidRDefault="00DF659B" w:rsidP="005A709B">
      <w:pPr>
        <w:pStyle w:val="Default"/>
        <w:spacing w:after="9"/>
        <w:jc w:val="both"/>
        <w:rPr>
          <w:rFonts w:asciiTheme="majorHAnsi" w:hAnsiTheme="majorHAnsi" w:cstheme="majorHAnsi"/>
          <w:color w:val="000000" w:themeColor="text1"/>
          <w:lang w:val="es-PR"/>
        </w:rPr>
      </w:pPr>
    </w:p>
    <w:p w14:paraId="1D3635A5" w14:textId="70602CDB" w:rsidR="003B104C" w:rsidRPr="00BB36A5" w:rsidRDefault="003B104C" w:rsidP="005A709B">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Para las escuelas privadas, debido al COVID19, la monitoria a distancia está siendo realizado por el proveedor externo y los hallazgos serán entregados al personal del DEPR ya que es el responsable de cumplir con todas las reglas y regulaciones aplicables en estos casos.</w:t>
      </w:r>
    </w:p>
    <w:p w14:paraId="67335CD0" w14:textId="77777777" w:rsidR="00DF659B" w:rsidRPr="00BB36A5" w:rsidRDefault="00DF659B" w:rsidP="005A709B">
      <w:pPr>
        <w:pStyle w:val="Default"/>
        <w:spacing w:after="9"/>
        <w:jc w:val="both"/>
        <w:rPr>
          <w:rFonts w:asciiTheme="majorHAnsi" w:hAnsiTheme="majorHAnsi" w:cstheme="majorHAnsi"/>
          <w:color w:val="000000" w:themeColor="text1"/>
          <w:lang w:val="es-PR"/>
        </w:rPr>
      </w:pPr>
    </w:p>
    <w:p w14:paraId="73CEAEFA" w14:textId="77777777" w:rsidR="00034F0A" w:rsidRPr="00BB36A5" w:rsidRDefault="00034F0A" w:rsidP="005A709B">
      <w:pPr>
        <w:pStyle w:val="Default"/>
        <w:spacing w:after="9"/>
        <w:jc w:val="both"/>
        <w:rPr>
          <w:rFonts w:asciiTheme="majorHAnsi" w:hAnsiTheme="majorHAnsi" w:cstheme="majorHAnsi"/>
          <w:color w:val="000000" w:themeColor="text1"/>
          <w:lang w:val="es-PR"/>
        </w:rPr>
      </w:pPr>
    </w:p>
    <w:p w14:paraId="4BF32533" w14:textId="4C2ACEAE" w:rsidR="00807714" w:rsidRPr="00BB36A5" w:rsidRDefault="00D771FB" w:rsidP="00034F0A">
      <w:pPr>
        <w:pStyle w:val="Heading4"/>
        <w:rPr>
          <w:rFonts w:cstheme="majorHAnsi"/>
          <w:i w:val="0"/>
          <w:iCs w:val="0"/>
          <w:lang w:val="es-PR"/>
        </w:rPr>
      </w:pPr>
      <w:r w:rsidRPr="00BB36A5">
        <w:rPr>
          <w:rFonts w:cstheme="majorHAnsi"/>
          <w:i w:val="0"/>
          <w:iCs w:val="0"/>
          <w:lang w:val="es-PR"/>
        </w:rPr>
        <w:t>Instrumentos</w:t>
      </w:r>
      <w:r w:rsidR="00B50C81" w:rsidRPr="00BB36A5">
        <w:rPr>
          <w:rFonts w:cstheme="majorHAnsi"/>
          <w:i w:val="0"/>
          <w:iCs w:val="0"/>
          <w:lang w:val="es-PR"/>
        </w:rPr>
        <w:t xml:space="preserve"> de Monitoria</w:t>
      </w:r>
    </w:p>
    <w:p w14:paraId="49E6E567" w14:textId="11823D1C" w:rsidR="00754C50" w:rsidRPr="00BB36A5" w:rsidRDefault="00DF659B" w:rsidP="00131772">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El DEPR va a monitorear las dos áreas principales de cada iniciativa</w:t>
      </w:r>
      <w:r w:rsidR="00882CB5"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el proceso de compras y el proceso de implementación. El proceso de compras consiste en el análisis de la documentación disponible en el Nivel Central.</w:t>
      </w:r>
    </w:p>
    <w:p w14:paraId="39FB6C05" w14:textId="77777777" w:rsidR="00754C50" w:rsidRPr="00BB36A5" w:rsidRDefault="00754C50" w:rsidP="00131772">
      <w:pPr>
        <w:pStyle w:val="Default"/>
        <w:spacing w:after="9"/>
        <w:jc w:val="both"/>
        <w:rPr>
          <w:rFonts w:asciiTheme="majorHAnsi" w:hAnsiTheme="majorHAnsi" w:cstheme="majorHAnsi"/>
          <w:color w:val="000000" w:themeColor="text1"/>
          <w:lang w:val="es-PR"/>
        </w:rPr>
      </w:pPr>
    </w:p>
    <w:p w14:paraId="7D6BE038" w14:textId="0CBCC681" w:rsidR="00807714" w:rsidRPr="00BB36A5" w:rsidRDefault="00754C50" w:rsidP="00131772">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noProof/>
        </w:rPr>
        <w:lastRenderedPageBreak/>
        <w:drawing>
          <wp:anchor distT="0" distB="0" distL="114300" distR="114300" simplePos="0" relativeHeight="251662336" behindDoc="0" locked="0" layoutInCell="1" allowOverlap="1" wp14:anchorId="77419B6E" wp14:editId="2AF4B2D0">
            <wp:simplePos x="0" y="0"/>
            <wp:positionH relativeFrom="margin">
              <wp:align>left</wp:align>
            </wp:positionH>
            <wp:positionV relativeFrom="paragraph">
              <wp:posOffset>365760</wp:posOffset>
            </wp:positionV>
            <wp:extent cx="6365875" cy="1139190"/>
            <wp:effectExtent l="0" t="0" r="0" b="381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5875" cy="1139190"/>
                    </a:xfrm>
                    <a:prstGeom prst="rect">
                      <a:avLst/>
                    </a:prstGeom>
                    <a:noFill/>
                    <a:ln>
                      <a:noFill/>
                    </a:ln>
                  </pic:spPr>
                </pic:pic>
              </a:graphicData>
            </a:graphic>
          </wp:anchor>
        </w:drawing>
      </w:r>
      <w:r w:rsidR="00DF659B" w:rsidRPr="00BB36A5">
        <w:rPr>
          <w:rFonts w:asciiTheme="majorHAnsi" w:hAnsiTheme="majorHAnsi" w:cstheme="majorHAnsi"/>
          <w:color w:val="000000" w:themeColor="text1"/>
          <w:lang w:val="es-PR"/>
        </w:rPr>
        <w:t>La siguiente tabla será utilizada para evaluar cada iniciativa</w:t>
      </w:r>
      <w:r w:rsidRPr="00BB36A5">
        <w:rPr>
          <w:rFonts w:asciiTheme="majorHAnsi" w:hAnsiTheme="majorHAnsi" w:cstheme="majorHAnsi"/>
          <w:color w:val="000000" w:themeColor="text1"/>
          <w:lang w:val="es-PR"/>
        </w:rPr>
        <w:t>:</w:t>
      </w:r>
    </w:p>
    <w:p w14:paraId="4AD02E2A" w14:textId="77777777" w:rsidR="003C0800" w:rsidRPr="00BB36A5" w:rsidRDefault="003C0800" w:rsidP="00131772">
      <w:pPr>
        <w:pStyle w:val="Default"/>
        <w:spacing w:after="9"/>
        <w:jc w:val="both"/>
        <w:rPr>
          <w:rFonts w:asciiTheme="majorHAnsi" w:hAnsiTheme="majorHAnsi" w:cstheme="majorHAnsi"/>
          <w:color w:val="000000" w:themeColor="text1"/>
          <w:lang w:val="es-PR"/>
        </w:rPr>
      </w:pPr>
    </w:p>
    <w:p w14:paraId="08C50D14" w14:textId="77777777" w:rsidR="003C0800" w:rsidRPr="00BB36A5" w:rsidRDefault="003C0800" w:rsidP="00131772">
      <w:pPr>
        <w:pStyle w:val="Default"/>
        <w:spacing w:after="9"/>
        <w:jc w:val="both"/>
        <w:rPr>
          <w:rFonts w:asciiTheme="majorHAnsi" w:hAnsiTheme="majorHAnsi" w:cstheme="majorHAnsi"/>
          <w:color w:val="000000" w:themeColor="text1"/>
          <w:lang w:val="es-PR"/>
        </w:rPr>
      </w:pPr>
    </w:p>
    <w:p w14:paraId="54E6C634" w14:textId="77777777" w:rsidR="003C0800" w:rsidRPr="00BB36A5" w:rsidRDefault="003C0800" w:rsidP="00131772">
      <w:pPr>
        <w:pStyle w:val="Default"/>
        <w:spacing w:after="9"/>
        <w:jc w:val="both"/>
        <w:rPr>
          <w:rFonts w:asciiTheme="majorHAnsi" w:hAnsiTheme="majorHAnsi" w:cstheme="majorHAnsi"/>
          <w:color w:val="000000" w:themeColor="text1"/>
          <w:lang w:val="es-PR"/>
        </w:rPr>
      </w:pPr>
    </w:p>
    <w:p w14:paraId="09A69DB7" w14:textId="77777777" w:rsidR="00BC1CF4" w:rsidRPr="00BB36A5" w:rsidRDefault="00BC1CF4" w:rsidP="00131772">
      <w:pPr>
        <w:pStyle w:val="Default"/>
        <w:spacing w:after="9"/>
        <w:jc w:val="both"/>
        <w:rPr>
          <w:rFonts w:asciiTheme="majorHAnsi" w:hAnsiTheme="majorHAnsi" w:cstheme="majorHAnsi"/>
          <w:color w:val="000000" w:themeColor="text1"/>
          <w:lang w:val="es-PR"/>
        </w:rPr>
      </w:pPr>
    </w:p>
    <w:p w14:paraId="289A13D6" w14:textId="05952808" w:rsidR="00BC1CF4" w:rsidRPr="00BB36A5" w:rsidRDefault="00BC1CF4" w:rsidP="00131772">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Los procesos de implementación de cada iniciativa serán evaluados en la visita </w:t>
      </w:r>
      <w:r w:rsidR="00CB3FBA" w:rsidRPr="00BB36A5">
        <w:rPr>
          <w:rFonts w:asciiTheme="majorHAnsi" w:hAnsiTheme="majorHAnsi" w:cstheme="majorHAnsi"/>
          <w:color w:val="000000" w:themeColor="text1"/>
          <w:lang w:val="es-PR"/>
        </w:rPr>
        <w:t>a la escuela</w:t>
      </w:r>
      <w:r w:rsidRPr="00BB36A5">
        <w:rPr>
          <w:rFonts w:asciiTheme="majorHAnsi" w:hAnsiTheme="majorHAnsi" w:cstheme="majorHAnsi"/>
          <w:color w:val="000000" w:themeColor="text1"/>
          <w:lang w:val="es-PR"/>
        </w:rPr>
        <w:t xml:space="preserve">. Durante cada visita de monitoreo, el monitor utilizará la siguiente tabla para evaluar la implementación de las Actividades de </w:t>
      </w:r>
      <w:proofErr w:type="spellStart"/>
      <w:r w:rsidRPr="00BB36A5">
        <w:rPr>
          <w:rFonts w:asciiTheme="majorHAnsi" w:hAnsiTheme="majorHAnsi" w:cstheme="majorHAnsi"/>
          <w:i/>
          <w:iCs/>
          <w:color w:val="000000" w:themeColor="text1"/>
          <w:lang w:val="es-PR"/>
        </w:rPr>
        <w:t>Re</w:t>
      </w:r>
      <w:r w:rsidR="00CB3FBA" w:rsidRPr="00BB36A5">
        <w:rPr>
          <w:rFonts w:asciiTheme="majorHAnsi" w:hAnsiTheme="majorHAnsi" w:cstheme="majorHAnsi"/>
          <w:i/>
          <w:iCs/>
          <w:color w:val="000000" w:themeColor="text1"/>
          <w:lang w:val="es-PR"/>
        </w:rPr>
        <w:t>start</w:t>
      </w:r>
      <w:proofErr w:type="spellEnd"/>
      <w:r w:rsidRPr="00BB36A5">
        <w:rPr>
          <w:rFonts w:asciiTheme="majorHAnsi" w:hAnsiTheme="majorHAnsi" w:cstheme="majorHAnsi"/>
          <w:color w:val="000000" w:themeColor="text1"/>
          <w:lang w:val="es-PR"/>
        </w:rPr>
        <w:t xml:space="preserve">, según corresponda a </w:t>
      </w:r>
      <w:r w:rsidR="00CB3FBA" w:rsidRPr="00BB36A5">
        <w:rPr>
          <w:rFonts w:asciiTheme="majorHAnsi" w:hAnsiTheme="majorHAnsi" w:cstheme="majorHAnsi"/>
          <w:color w:val="000000" w:themeColor="text1"/>
          <w:lang w:val="es-PR"/>
        </w:rPr>
        <w:t>cada</w:t>
      </w:r>
      <w:r w:rsidRPr="00BB36A5">
        <w:rPr>
          <w:rFonts w:asciiTheme="majorHAnsi" w:hAnsiTheme="majorHAnsi" w:cstheme="majorHAnsi"/>
          <w:color w:val="000000" w:themeColor="text1"/>
          <w:lang w:val="es-PR"/>
        </w:rPr>
        <w:t xml:space="preserve"> escuela:</w:t>
      </w:r>
    </w:p>
    <w:p w14:paraId="7738C1FC" w14:textId="77777777" w:rsidR="008E6767" w:rsidRPr="00BB36A5" w:rsidRDefault="008E6767" w:rsidP="00131772">
      <w:pPr>
        <w:pStyle w:val="Default"/>
        <w:spacing w:after="9"/>
        <w:jc w:val="both"/>
        <w:rPr>
          <w:rFonts w:asciiTheme="majorHAnsi" w:hAnsiTheme="majorHAnsi" w:cstheme="majorHAnsi"/>
          <w:color w:val="000000" w:themeColor="text1"/>
          <w:lang w:val="es-PR"/>
        </w:rPr>
      </w:pPr>
    </w:p>
    <w:p w14:paraId="46315DC6" w14:textId="29B410E6" w:rsidR="00B94BC3" w:rsidRPr="00BB36A5" w:rsidRDefault="003C0800" w:rsidP="4F9E87E5">
      <w:pPr>
        <w:pStyle w:val="Default"/>
        <w:spacing w:after="9"/>
        <w:jc w:val="both"/>
        <w:rPr>
          <w:rFonts w:asciiTheme="majorHAnsi" w:hAnsiTheme="majorHAnsi" w:cstheme="majorHAnsi"/>
          <w:color w:val="000000" w:themeColor="text1"/>
        </w:rPr>
      </w:pPr>
      <w:r w:rsidRPr="00BB36A5">
        <w:rPr>
          <w:rFonts w:asciiTheme="majorHAnsi" w:hAnsiTheme="majorHAnsi" w:cstheme="majorHAnsi"/>
          <w:noProof/>
        </w:rPr>
        <w:drawing>
          <wp:inline distT="0" distB="0" distL="0" distR="0" wp14:anchorId="7C247AC4" wp14:editId="4ED3687C">
            <wp:extent cx="6106795" cy="47948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795" cy="4794885"/>
                    </a:xfrm>
                    <a:prstGeom prst="rect">
                      <a:avLst/>
                    </a:prstGeom>
                    <a:noFill/>
                    <a:ln>
                      <a:noFill/>
                    </a:ln>
                  </pic:spPr>
                </pic:pic>
              </a:graphicData>
            </a:graphic>
          </wp:inline>
        </w:drawing>
      </w:r>
    </w:p>
    <w:p w14:paraId="7BF917CD" w14:textId="77777777" w:rsidR="008E6767" w:rsidRPr="00BB36A5" w:rsidRDefault="008E6767" w:rsidP="4F9E87E5">
      <w:pPr>
        <w:pStyle w:val="Default"/>
        <w:spacing w:after="9"/>
        <w:jc w:val="both"/>
        <w:rPr>
          <w:rFonts w:asciiTheme="majorHAnsi" w:hAnsiTheme="majorHAnsi" w:cstheme="majorHAnsi"/>
          <w:color w:val="000000" w:themeColor="text1"/>
        </w:rPr>
      </w:pPr>
    </w:p>
    <w:p w14:paraId="52634B4C" w14:textId="2AABBA5F" w:rsidR="00B6538A" w:rsidRPr="00BB36A5" w:rsidRDefault="00D079ED" w:rsidP="00361740">
      <w:p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lastRenderedPageBreak/>
        <w:t>Los monitores utilizan un instrumento de monitor</w:t>
      </w:r>
      <w:r w:rsidR="001E5B91"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que abordará todos los elementos antes mencionados y cualquier otro</w:t>
      </w:r>
      <w:r w:rsidR="001E5B91"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 xml:space="preserve">según se considere necesario. Los monitores evalúan los elementos y se asignará una puntuación final a cada sujeto para medir la etapa de implementación en la que se encuentra la escuela. El instrumento de </w:t>
      </w:r>
      <w:r w:rsidR="001E5B91" w:rsidRPr="00BB36A5">
        <w:rPr>
          <w:rFonts w:asciiTheme="majorHAnsi" w:hAnsiTheme="majorHAnsi" w:cstheme="majorHAnsi"/>
          <w:color w:val="000000" w:themeColor="text1"/>
          <w:lang w:val="es-PR"/>
        </w:rPr>
        <w:t>monitoria</w:t>
      </w:r>
      <w:r w:rsidRPr="00BB36A5">
        <w:rPr>
          <w:rFonts w:asciiTheme="majorHAnsi" w:hAnsiTheme="majorHAnsi" w:cstheme="majorHAnsi"/>
          <w:color w:val="000000" w:themeColor="text1"/>
          <w:lang w:val="es-PR"/>
        </w:rPr>
        <w:t xml:space="preserve"> se seguirá </w:t>
      </w:r>
      <w:r w:rsidR="001E5B91" w:rsidRPr="00BB36A5">
        <w:rPr>
          <w:rFonts w:asciiTheme="majorHAnsi" w:hAnsiTheme="majorHAnsi" w:cstheme="majorHAnsi"/>
          <w:color w:val="000000" w:themeColor="text1"/>
          <w:lang w:val="es-PR"/>
        </w:rPr>
        <w:t>actualizando</w:t>
      </w:r>
      <w:r w:rsidRPr="00BB36A5">
        <w:rPr>
          <w:rFonts w:asciiTheme="majorHAnsi" w:hAnsiTheme="majorHAnsi" w:cstheme="majorHAnsi"/>
          <w:color w:val="000000" w:themeColor="text1"/>
          <w:lang w:val="es-PR"/>
        </w:rPr>
        <w:t xml:space="preserve"> una vez que se determinen las pruebas necesarias para cada </w:t>
      </w:r>
      <w:r w:rsidR="001E5B91" w:rsidRPr="00BB36A5">
        <w:rPr>
          <w:rFonts w:asciiTheme="majorHAnsi" w:hAnsiTheme="majorHAnsi" w:cstheme="majorHAnsi"/>
          <w:color w:val="000000" w:themeColor="text1"/>
          <w:lang w:val="es-PR"/>
        </w:rPr>
        <w:t>ítem</w:t>
      </w:r>
      <w:r w:rsidRPr="00BB36A5">
        <w:rPr>
          <w:rFonts w:asciiTheme="majorHAnsi" w:hAnsiTheme="majorHAnsi" w:cstheme="majorHAnsi"/>
          <w:color w:val="000000" w:themeColor="text1"/>
          <w:lang w:val="es-PR"/>
        </w:rPr>
        <w:t xml:space="preserve"> y estará disponible para</w:t>
      </w:r>
      <w:r w:rsidR="001E5B91" w:rsidRPr="00BB36A5">
        <w:rPr>
          <w:rFonts w:asciiTheme="majorHAnsi" w:hAnsiTheme="majorHAnsi" w:cstheme="majorHAnsi"/>
          <w:color w:val="000000" w:themeColor="text1"/>
          <w:lang w:val="es-PR"/>
        </w:rPr>
        <w:t xml:space="preserve"> su revisión,</w:t>
      </w:r>
      <w:r w:rsidRPr="00BB36A5">
        <w:rPr>
          <w:rFonts w:asciiTheme="majorHAnsi" w:hAnsiTheme="majorHAnsi" w:cstheme="majorHAnsi"/>
          <w:color w:val="000000" w:themeColor="text1"/>
          <w:lang w:val="es-PR"/>
        </w:rPr>
        <w:t xml:space="preserve"> según </w:t>
      </w:r>
      <w:r w:rsidR="001E5B91" w:rsidRPr="00BB36A5">
        <w:rPr>
          <w:rFonts w:asciiTheme="majorHAnsi" w:hAnsiTheme="majorHAnsi" w:cstheme="majorHAnsi"/>
          <w:color w:val="000000" w:themeColor="text1"/>
          <w:lang w:val="es-PR"/>
        </w:rPr>
        <w:t>sea</w:t>
      </w:r>
      <w:r w:rsidRPr="00BB36A5">
        <w:rPr>
          <w:rFonts w:asciiTheme="majorHAnsi" w:hAnsiTheme="majorHAnsi" w:cstheme="majorHAnsi"/>
          <w:color w:val="000000" w:themeColor="text1"/>
          <w:lang w:val="es-PR"/>
        </w:rPr>
        <w:t xml:space="preserve"> solicitado. </w:t>
      </w:r>
      <w:r w:rsidR="001E5B91" w:rsidRPr="00BB36A5">
        <w:rPr>
          <w:rFonts w:asciiTheme="majorHAnsi" w:hAnsiTheme="majorHAnsi" w:cstheme="majorHAnsi"/>
          <w:color w:val="000000" w:themeColor="text1"/>
          <w:lang w:val="es-PR"/>
        </w:rPr>
        <w:t>También</w:t>
      </w:r>
      <w:r w:rsidRPr="00BB36A5">
        <w:rPr>
          <w:rFonts w:asciiTheme="majorHAnsi" w:hAnsiTheme="majorHAnsi" w:cstheme="majorHAnsi"/>
          <w:color w:val="000000" w:themeColor="text1"/>
          <w:lang w:val="es-PR"/>
        </w:rPr>
        <w:t>, se desarrollaron rúbricas de monitor</w:t>
      </w:r>
      <w:r w:rsidR="001E5B91"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para monitorear los procedimientos que ocurren a </w:t>
      </w:r>
      <w:r w:rsidR="001E5B91" w:rsidRPr="00BB36A5">
        <w:rPr>
          <w:rFonts w:asciiTheme="majorHAnsi" w:hAnsiTheme="majorHAnsi" w:cstheme="majorHAnsi"/>
          <w:color w:val="000000" w:themeColor="text1"/>
          <w:lang w:val="es-PR"/>
        </w:rPr>
        <w:t>n</w:t>
      </w:r>
      <w:r w:rsidRPr="00BB36A5">
        <w:rPr>
          <w:rFonts w:asciiTheme="majorHAnsi" w:hAnsiTheme="majorHAnsi" w:cstheme="majorHAnsi"/>
          <w:color w:val="000000" w:themeColor="text1"/>
          <w:lang w:val="es-PR"/>
        </w:rPr>
        <w:t xml:space="preserve">ivel </w:t>
      </w:r>
      <w:r w:rsidR="001E5B91" w:rsidRPr="00BB36A5">
        <w:rPr>
          <w:rFonts w:asciiTheme="majorHAnsi" w:hAnsiTheme="majorHAnsi" w:cstheme="majorHAnsi"/>
          <w:color w:val="000000" w:themeColor="text1"/>
          <w:lang w:val="es-PR"/>
        </w:rPr>
        <w:t>central</w:t>
      </w:r>
      <w:r w:rsidRPr="00BB36A5">
        <w:rPr>
          <w:rFonts w:asciiTheme="majorHAnsi" w:hAnsiTheme="majorHAnsi" w:cstheme="majorHAnsi"/>
          <w:color w:val="000000" w:themeColor="text1"/>
          <w:lang w:val="es-PR"/>
        </w:rPr>
        <w:t xml:space="preserve"> y </w:t>
      </w:r>
      <w:r w:rsidR="001E5B91" w:rsidRPr="00BB36A5">
        <w:rPr>
          <w:rFonts w:asciiTheme="majorHAnsi" w:hAnsiTheme="majorHAnsi" w:cstheme="majorHAnsi"/>
          <w:color w:val="000000" w:themeColor="text1"/>
          <w:lang w:val="es-PR"/>
        </w:rPr>
        <w:t>regional</w:t>
      </w:r>
      <w:r w:rsidRPr="00BB36A5">
        <w:rPr>
          <w:rFonts w:asciiTheme="majorHAnsi" w:hAnsiTheme="majorHAnsi" w:cstheme="majorHAnsi"/>
          <w:color w:val="000000" w:themeColor="text1"/>
          <w:lang w:val="es-PR"/>
        </w:rPr>
        <w:t xml:space="preserve"> con el fin de validar que todos los proce</w:t>
      </w:r>
      <w:r w:rsidR="001E5B91" w:rsidRPr="00BB36A5">
        <w:rPr>
          <w:rFonts w:asciiTheme="majorHAnsi" w:hAnsiTheme="majorHAnsi" w:cstheme="majorHAnsi"/>
          <w:color w:val="000000" w:themeColor="text1"/>
          <w:lang w:val="es-PR"/>
        </w:rPr>
        <w:t>sos</w:t>
      </w:r>
      <w:r w:rsidRPr="00BB36A5">
        <w:rPr>
          <w:rFonts w:asciiTheme="majorHAnsi" w:hAnsiTheme="majorHAnsi" w:cstheme="majorHAnsi"/>
          <w:color w:val="000000" w:themeColor="text1"/>
          <w:lang w:val="es-PR"/>
        </w:rPr>
        <w:t xml:space="preserve"> están siguiendo los controles internos y las regulaciones aplicables. Todos los instrumentos de monitor</w:t>
      </w:r>
      <w:r w:rsidR="001E5B91" w:rsidRPr="00BB36A5">
        <w:rPr>
          <w:rFonts w:asciiTheme="majorHAnsi" w:hAnsiTheme="majorHAnsi" w:cstheme="majorHAnsi"/>
          <w:color w:val="000000" w:themeColor="text1"/>
          <w:lang w:val="es-PR"/>
        </w:rPr>
        <w:t>ia</w:t>
      </w:r>
      <w:r w:rsidRPr="00BB36A5">
        <w:rPr>
          <w:rFonts w:asciiTheme="majorHAnsi" w:hAnsiTheme="majorHAnsi" w:cstheme="majorHAnsi"/>
          <w:color w:val="000000" w:themeColor="text1"/>
          <w:lang w:val="es-PR"/>
        </w:rPr>
        <w:t xml:space="preserve"> fueron desarrollados por el contratista </w:t>
      </w:r>
      <w:r w:rsidR="001E5B91" w:rsidRPr="00BB36A5">
        <w:rPr>
          <w:rFonts w:asciiTheme="majorHAnsi" w:hAnsiTheme="majorHAnsi" w:cstheme="majorHAnsi"/>
          <w:color w:val="000000" w:themeColor="text1"/>
          <w:lang w:val="es-PR"/>
        </w:rPr>
        <w:t>independiente</w:t>
      </w:r>
      <w:r w:rsidRPr="00BB36A5">
        <w:rPr>
          <w:rFonts w:asciiTheme="majorHAnsi" w:hAnsiTheme="majorHAnsi" w:cstheme="majorHAnsi"/>
          <w:color w:val="000000" w:themeColor="text1"/>
          <w:lang w:val="es-PR"/>
        </w:rPr>
        <w:t xml:space="preserve"> contratado para fines de </w:t>
      </w:r>
      <w:r w:rsidR="001E5B91" w:rsidRPr="00BB36A5">
        <w:rPr>
          <w:rFonts w:asciiTheme="majorHAnsi" w:hAnsiTheme="majorHAnsi" w:cstheme="majorHAnsi"/>
          <w:color w:val="000000" w:themeColor="text1"/>
          <w:lang w:val="es-PR"/>
        </w:rPr>
        <w:t>monitoria</w:t>
      </w:r>
      <w:r w:rsidRPr="00BB36A5">
        <w:rPr>
          <w:rFonts w:asciiTheme="majorHAnsi" w:hAnsiTheme="majorHAnsi" w:cstheme="majorHAnsi"/>
          <w:color w:val="000000" w:themeColor="text1"/>
          <w:lang w:val="es-PR"/>
        </w:rPr>
        <w:t xml:space="preserve"> y supervisión</w:t>
      </w:r>
      <w:r w:rsidR="001E5B91" w:rsidRPr="00BB36A5">
        <w:rPr>
          <w:rFonts w:asciiTheme="majorHAnsi" w:hAnsiTheme="majorHAnsi" w:cstheme="majorHAnsi"/>
          <w:color w:val="000000" w:themeColor="text1"/>
          <w:lang w:val="es-PR"/>
        </w:rPr>
        <w:t xml:space="preserve">, dichos reportes son </w:t>
      </w:r>
      <w:r w:rsidRPr="00BB36A5">
        <w:rPr>
          <w:rFonts w:asciiTheme="majorHAnsi" w:hAnsiTheme="majorHAnsi" w:cstheme="majorHAnsi"/>
          <w:color w:val="000000" w:themeColor="text1"/>
          <w:lang w:val="es-PR"/>
        </w:rPr>
        <w:t>revisados</w:t>
      </w:r>
      <w:r w:rsidR="00295DC2"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por el</w:t>
      </w:r>
      <w:r w:rsidR="001E5B91"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DE</w:t>
      </w:r>
      <w:r w:rsidR="001E5B91" w:rsidRPr="00BB36A5">
        <w:rPr>
          <w:rFonts w:asciiTheme="majorHAnsi" w:hAnsiTheme="majorHAnsi" w:cstheme="majorHAnsi"/>
          <w:color w:val="000000" w:themeColor="text1"/>
          <w:lang w:val="es-PR"/>
        </w:rPr>
        <w:t>PR</w:t>
      </w:r>
      <w:r w:rsidRPr="00BB36A5">
        <w:rPr>
          <w:rFonts w:asciiTheme="majorHAnsi" w:hAnsiTheme="majorHAnsi" w:cstheme="majorHAnsi"/>
          <w:color w:val="000000" w:themeColor="text1"/>
          <w:lang w:val="es-PR"/>
        </w:rPr>
        <w:t xml:space="preserve">. </w:t>
      </w:r>
    </w:p>
    <w:p w14:paraId="757FC911" w14:textId="42518CE2" w:rsidR="00A1379A" w:rsidRPr="00BB36A5" w:rsidRDefault="00A1379A" w:rsidP="4093036A">
      <w:pPr>
        <w:pStyle w:val="Default"/>
        <w:jc w:val="both"/>
        <w:rPr>
          <w:rFonts w:asciiTheme="majorHAnsi" w:hAnsiTheme="majorHAnsi" w:cstheme="majorHAnsi"/>
          <w:color w:val="000000" w:themeColor="text1"/>
          <w:lang w:val="es-PR"/>
        </w:rPr>
      </w:pPr>
    </w:p>
    <w:p w14:paraId="7A629AB5" w14:textId="5287682A" w:rsidR="00CF17E0" w:rsidRPr="00BB36A5" w:rsidRDefault="00CF17E0" w:rsidP="00A1379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Después de cada visita, los monitores enviarán un memo de visita de monitoria a la oficina del </w:t>
      </w:r>
      <w:r w:rsidR="001C6610"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del DEPR que incluye no sólo las puntuaciones numéricas, sino también las observaciones del monitor. </w:t>
      </w:r>
      <w:r w:rsidR="00361740" w:rsidRPr="00BB36A5">
        <w:rPr>
          <w:rFonts w:asciiTheme="majorHAnsi" w:hAnsiTheme="majorHAnsi" w:cstheme="majorHAnsi"/>
          <w:color w:val="000000" w:themeColor="text1"/>
          <w:lang w:val="es-PR"/>
        </w:rPr>
        <w:t>La</w:t>
      </w:r>
      <w:r w:rsidRPr="00BB36A5">
        <w:rPr>
          <w:rFonts w:asciiTheme="majorHAnsi" w:hAnsiTheme="majorHAnsi" w:cstheme="majorHAnsi"/>
          <w:color w:val="000000" w:themeColor="text1"/>
          <w:lang w:val="es-PR"/>
        </w:rPr>
        <w:t xml:space="preserve"> oficina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w:t>
      </w:r>
      <w:r w:rsidRPr="00BB36A5">
        <w:rPr>
          <w:rFonts w:asciiTheme="majorHAnsi" w:hAnsiTheme="majorHAnsi" w:cstheme="majorHAnsi"/>
          <w:color w:val="000000" w:themeColor="text1"/>
          <w:lang w:val="es-PR"/>
        </w:rPr>
        <w:t xml:space="preserve"> se pondrá en contacto con las escuelas</w:t>
      </w:r>
      <w:r w:rsidR="00361740" w:rsidRPr="00BB36A5">
        <w:rPr>
          <w:rFonts w:asciiTheme="majorHAnsi" w:hAnsiTheme="majorHAnsi" w:cstheme="majorHAnsi"/>
          <w:color w:val="000000" w:themeColor="text1"/>
          <w:lang w:val="es-PR"/>
        </w:rPr>
        <w:t>/</w:t>
      </w:r>
      <w:r w:rsidR="00577C0A" w:rsidRPr="00BB36A5">
        <w:rPr>
          <w:rFonts w:asciiTheme="majorHAnsi" w:hAnsiTheme="majorHAnsi" w:cstheme="majorHAnsi"/>
          <w:color w:val="000000" w:themeColor="text1"/>
          <w:lang w:val="es-PR"/>
        </w:rPr>
        <w:t xml:space="preserve"> </w:t>
      </w:r>
      <w:r w:rsidR="00361740" w:rsidRPr="00BB36A5">
        <w:rPr>
          <w:rFonts w:asciiTheme="majorHAnsi" w:hAnsiTheme="majorHAnsi" w:cstheme="majorHAnsi"/>
          <w:color w:val="000000" w:themeColor="text1"/>
          <w:lang w:val="es-PR"/>
        </w:rPr>
        <w:t>líder de la iniciativa/</w:t>
      </w:r>
      <w:r w:rsidR="00577C0A" w:rsidRPr="00BB36A5">
        <w:rPr>
          <w:rFonts w:asciiTheme="majorHAnsi" w:hAnsiTheme="majorHAnsi" w:cstheme="majorHAnsi"/>
          <w:color w:val="000000" w:themeColor="text1"/>
          <w:lang w:val="es-PR"/>
        </w:rPr>
        <w:t xml:space="preserve"> </w:t>
      </w:r>
      <w:r w:rsidR="00361740" w:rsidRPr="00BB36A5">
        <w:rPr>
          <w:rFonts w:asciiTheme="majorHAnsi" w:hAnsiTheme="majorHAnsi" w:cstheme="majorHAnsi"/>
          <w:color w:val="000000" w:themeColor="text1"/>
          <w:lang w:val="es-PR"/>
        </w:rPr>
        <w:t>oficina</w:t>
      </w:r>
      <w:r w:rsidRPr="00BB36A5">
        <w:rPr>
          <w:rFonts w:asciiTheme="majorHAnsi" w:hAnsiTheme="majorHAnsi" w:cstheme="majorHAnsi"/>
          <w:color w:val="000000" w:themeColor="text1"/>
          <w:lang w:val="es-PR"/>
        </w:rPr>
        <w:t xml:space="preserve"> para desarrollar los planes de acción correctiva necesarios de acuerdo con los hallazgos señalados. El personal de Nivel Central y las Regiones</w:t>
      </w:r>
      <w:r w:rsidR="001C6610"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también serán responsables de revisar los resultados y hallazgos de la monitoria para poder</w:t>
      </w:r>
      <w:r w:rsidR="00361740" w:rsidRPr="00BB36A5">
        <w:rPr>
          <w:rFonts w:asciiTheme="majorHAnsi" w:hAnsiTheme="majorHAnsi" w:cstheme="majorHAnsi"/>
          <w:color w:val="000000" w:themeColor="text1"/>
          <w:lang w:val="es-PR"/>
        </w:rPr>
        <w:t xml:space="preserve"> resolver cualquier excepción</w:t>
      </w:r>
      <w:r w:rsidR="00577C0A" w:rsidRPr="00BB36A5">
        <w:rPr>
          <w:rFonts w:asciiTheme="majorHAnsi" w:hAnsiTheme="majorHAnsi" w:cstheme="majorHAnsi"/>
          <w:color w:val="000000" w:themeColor="text1"/>
          <w:lang w:val="es-PR"/>
        </w:rPr>
        <w:t xml:space="preserve"> o </w:t>
      </w:r>
      <w:r w:rsidR="00361740" w:rsidRPr="00BB36A5">
        <w:rPr>
          <w:rFonts w:asciiTheme="majorHAnsi" w:hAnsiTheme="majorHAnsi" w:cstheme="majorHAnsi"/>
          <w:color w:val="000000" w:themeColor="text1"/>
          <w:lang w:val="es-PR"/>
        </w:rPr>
        <w:t>discrepancias señaladas, de ser necesario</w:t>
      </w:r>
      <w:r w:rsidRPr="00BB36A5">
        <w:rPr>
          <w:rFonts w:asciiTheme="majorHAnsi" w:hAnsiTheme="majorHAnsi" w:cstheme="majorHAnsi"/>
          <w:color w:val="000000" w:themeColor="text1"/>
          <w:lang w:val="es-PR"/>
        </w:rPr>
        <w:t>. Además, la información recopilada a través del memo de monitoria se utilizará para proporcionar asistencia técnica y seguimiento.</w:t>
      </w:r>
    </w:p>
    <w:p w14:paraId="50CC1499" w14:textId="77777777" w:rsidR="005D3E5A" w:rsidRPr="00BB36A5" w:rsidRDefault="005D3E5A" w:rsidP="4093036A">
      <w:pPr>
        <w:pStyle w:val="Default"/>
        <w:jc w:val="both"/>
        <w:rPr>
          <w:rFonts w:asciiTheme="majorHAnsi" w:hAnsiTheme="majorHAnsi" w:cstheme="majorHAnsi"/>
          <w:color w:val="000000" w:themeColor="text1"/>
          <w:lang w:val="es-PR"/>
        </w:rPr>
      </w:pPr>
    </w:p>
    <w:p w14:paraId="10E4AE06" w14:textId="6168CB22" w:rsidR="00C54B93" w:rsidRPr="00BB36A5" w:rsidRDefault="00C54B93">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Actualmente, si se identifican hallazgos o señalamientos de incumplimiento del programa las escuelas y regiones están obligadas a proveer evidencia de las acciones correctivas. Las escuelas y regiones deben responder a los señalamientos presentando evidencia de cumplimiento </w:t>
      </w:r>
      <w:r w:rsidR="001230A2" w:rsidRPr="00BB36A5">
        <w:rPr>
          <w:rFonts w:asciiTheme="majorHAnsi" w:hAnsiTheme="majorHAnsi" w:cstheme="majorHAnsi"/>
          <w:color w:val="000000" w:themeColor="text1"/>
          <w:lang w:val="es-PR"/>
        </w:rPr>
        <w:t>incluyendo,</w:t>
      </w:r>
      <w:r w:rsidRPr="00BB36A5">
        <w:rPr>
          <w:rFonts w:asciiTheme="majorHAnsi" w:hAnsiTheme="majorHAnsi" w:cstheme="majorHAnsi"/>
          <w:color w:val="000000" w:themeColor="text1"/>
          <w:lang w:val="es-PR"/>
        </w:rPr>
        <w:t xml:space="preserve"> pero no limitado a planes de trabajo, planes de estudiantes individualizados, planificación de los maestros, ejemplos de tareas escolares y actividades de los estudiantes, portafolios, resultados de pruebas, notificación a los padres y cualquier formulario de los programas. Cuando se identifican problemas de incumplimiento a nivel escolar, las regiones deben presentar un plan de acción correctiva que describa estrategias y actividades para proveer apoyo adicional a las escuelas. A </w:t>
      </w:r>
      <w:r w:rsidR="001230A2" w:rsidRPr="00BB36A5">
        <w:rPr>
          <w:rFonts w:asciiTheme="majorHAnsi" w:hAnsiTheme="majorHAnsi" w:cstheme="majorHAnsi"/>
          <w:color w:val="000000" w:themeColor="text1"/>
          <w:lang w:val="es-PR"/>
        </w:rPr>
        <w:t>continuación,</w:t>
      </w:r>
      <w:r w:rsidRPr="00BB36A5">
        <w:rPr>
          <w:rFonts w:asciiTheme="majorHAnsi" w:hAnsiTheme="majorHAnsi" w:cstheme="majorHAnsi"/>
          <w:color w:val="000000" w:themeColor="text1"/>
          <w:lang w:val="es-PR"/>
        </w:rPr>
        <w:t xml:space="preserve"> se </w:t>
      </w:r>
      <w:r w:rsidR="001230A2" w:rsidRPr="00BB36A5">
        <w:rPr>
          <w:rFonts w:asciiTheme="majorHAnsi" w:hAnsiTheme="majorHAnsi" w:cstheme="majorHAnsi"/>
          <w:color w:val="000000" w:themeColor="text1"/>
          <w:lang w:val="es-PR"/>
        </w:rPr>
        <w:t>provee</w:t>
      </w:r>
      <w:r w:rsidRPr="00BB36A5">
        <w:rPr>
          <w:rFonts w:asciiTheme="majorHAnsi" w:hAnsiTheme="majorHAnsi" w:cstheme="majorHAnsi"/>
          <w:color w:val="000000" w:themeColor="text1"/>
          <w:lang w:val="es-PR"/>
        </w:rPr>
        <w:t xml:space="preserve"> la plantilla para elaborar un resumen de los resultados de dichas visitas/informes de </w:t>
      </w:r>
      <w:r w:rsidR="001230A2" w:rsidRPr="00BB36A5">
        <w:rPr>
          <w:rFonts w:asciiTheme="majorHAnsi" w:hAnsiTheme="majorHAnsi" w:cstheme="majorHAnsi"/>
          <w:color w:val="000000" w:themeColor="text1"/>
          <w:lang w:val="es-PR"/>
        </w:rPr>
        <w:t>monitoria</w:t>
      </w:r>
      <w:r w:rsidRPr="00BB36A5">
        <w:rPr>
          <w:rFonts w:asciiTheme="majorHAnsi" w:hAnsiTheme="majorHAnsi" w:cstheme="majorHAnsi"/>
          <w:color w:val="000000" w:themeColor="text1"/>
          <w:lang w:val="es-PR"/>
        </w:rPr>
        <w:t>:</w:t>
      </w:r>
    </w:p>
    <w:p w14:paraId="707CA5C7" w14:textId="77777777" w:rsidR="0045701F" w:rsidRPr="00BB36A5" w:rsidRDefault="0045701F" w:rsidP="00131772">
      <w:pPr>
        <w:pStyle w:val="Default"/>
        <w:jc w:val="both"/>
        <w:rPr>
          <w:rFonts w:asciiTheme="majorHAnsi" w:hAnsiTheme="majorHAnsi" w:cstheme="majorHAnsi"/>
          <w:color w:val="000000" w:themeColor="text1"/>
          <w:lang w:val="es-PR"/>
        </w:rPr>
      </w:pPr>
    </w:p>
    <w:p w14:paraId="78F0AD2A" w14:textId="77EE842D" w:rsidR="002A6EE8" w:rsidRPr="00BB36A5" w:rsidRDefault="00246AB9" w:rsidP="00131772">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 </w:t>
      </w:r>
      <w:r w:rsidRPr="00BB36A5">
        <w:rPr>
          <w:rFonts w:asciiTheme="majorHAnsi" w:hAnsiTheme="majorHAnsi" w:cstheme="majorHAnsi"/>
          <w:noProof/>
        </w:rPr>
        <w:drawing>
          <wp:inline distT="0" distB="0" distL="0" distR="0" wp14:anchorId="53CE8280" wp14:editId="794F38C3">
            <wp:extent cx="6400800" cy="19513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51355"/>
                    </a:xfrm>
                    <a:prstGeom prst="rect">
                      <a:avLst/>
                    </a:prstGeom>
                    <a:noFill/>
                    <a:ln>
                      <a:noFill/>
                    </a:ln>
                  </pic:spPr>
                </pic:pic>
              </a:graphicData>
            </a:graphic>
          </wp:inline>
        </w:drawing>
      </w:r>
    </w:p>
    <w:p w14:paraId="03FF6B1F" w14:textId="77777777" w:rsidR="00D80AAB" w:rsidRPr="00BB36A5" w:rsidRDefault="00D80AAB" w:rsidP="00131772">
      <w:pPr>
        <w:pStyle w:val="Default"/>
        <w:jc w:val="both"/>
        <w:rPr>
          <w:rFonts w:asciiTheme="majorHAnsi" w:hAnsiTheme="majorHAnsi" w:cstheme="majorHAnsi"/>
          <w:color w:val="000000" w:themeColor="text1"/>
          <w:lang w:val="es-PR"/>
        </w:rPr>
      </w:pPr>
    </w:p>
    <w:p w14:paraId="44F88641" w14:textId="73475916" w:rsidR="007D6DEA" w:rsidRPr="00BB36A5" w:rsidRDefault="006B2501" w:rsidP="4093036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Antes de la pandemia del COVID19, el programa proyecto que l</w:t>
      </w:r>
      <w:r w:rsidR="007D6DEA" w:rsidRPr="00BB36A5">
        <w:rPr>
          <w:rFonts w:asciiTheme="majorHAnsi" w:hAnsiTheme="majorHAnsi" w:cstheme="majorHAnsi"/>
          <w:color w:val="000000" w:themeColor="text1"/>
          <w:lang w:val="es-PR"/>
        </w:rPr>
        <w:t xml:space="preserve">as escuelas </w:t>
      </w:r>
      <w:r w:rsidRPr="00BB36A5">
        <w:rPr>
          <w:rFonts w:asciiTheme="majorHAnsi" w:hAnsiTheme="majorHAnsi" w:cstheme="majorHAnsi"/>
          <w:color w:val="000000" w:themeColor="text1"/>
          <w:lang w:val="es-PR"/>
        </w:rPr>
        <w:t>podrían</w:t>
      </w:r>
      <w:r w:rsidR="007D6DEA" w:rsidRPr="00BB36A5">
        <w:rPr>
          <w:rFonts w:asciiTheme="majorHAnsi" w:hAnsiTheme="majorHAnsi" w:cstheme="majorHAnsi"/>
          <w:color w:val="000000" w:themeColor="text1"/>
          <w:lang w:val="es-PR"/>
        </w:rPr>
        <w:t xml:space="preserve"> ser nuevamente visitadas dentro de los 3 meses con el fin de realizar un seguimiento del progreso en la implementación y </w:t>
      </w:r>
      <w:r w:rsidR="007D6DEA" w:rsidRPr="00BB36A5">
        <w:rPr>
          <w:rFonts w:asciiTheme="majorHAnsi" w:hAnsiTheme="majorHAnsi" w:cstheme="majorHAnsi"/>
          <w:color w:val="000000" w:themeColor="text1"/>
          <w:lang w:val="es-PR"/>
        </w:rPr>
        <w:lastRenderedPageBreak/>
        <w:t xml:space="preserve">el uso de los recursos adicionales durante el año escolar. Este tipo de monitoreo periódico </w:t>
      </w:r>
      <w:r w:rsidRPr="00BB36A5">
        <w:rPr>
          <w:rFonts w:asciiTheme="majorHAnsi" w:hAnsiTheme="majorHAnsi" w:cstheme="majorHAnsi"/>
          <w:color w:val="000000" w:themeColor="text1"/>
          <w:lang w:val="es-PR"/>
        </w:rPr>
        <w:t xml:space="preserve">podría </w:t>
      </w:r>
      <w:r w:rsidR="007D6DEA" w:rsidRPr="00BB36A5">
        <w:rPr>
          <w:rFonts w:asciiTheme="majorHAnsi" w:hAnsiTheme="majorHAnsi" w:cstheme="majorHAnsi"/>
          <w:color w:val="000000" w:themeColor="text1"/>
          <w:lang w:val="es-PR"/>
        </w:rPr>
        <w:t>permit</w:t>
      </w:r>
      <w:r w:rsidRPr="00BB36A5">
        <w:rPr>
          <w:rFonts w:asciiTheme="majorHAnsi" w:hAnsiTheme="majorHAnsi" w:cstheme="majorHAnsi"/>
          <w:color w:val="000000" w:themeColor="text1"/>
          <w:lang w:val="es-PR"/>
        </w:rPr>
        <w:t>ir</w:t>
      </w:r>
      <w:r w:rsidR="007D6DEA" w:rsidRPr="00BB36A5">
        <w:rPr>
          <w:rFonts w:asciiTheme="majorHAnsi" w:hAnsiTheme="majorHAnsi" w:cstheme="majorHAnsi"/>
          <w:color w:val="000000" w:themeColor="text1"/>
          <w:lang w:val="es-PR"/>
        </w:rPr>
        <w:t xml:space="preserve"> al DEPR identificar tendencias y elaborar recomendaciones para su implementación que puedan documentarse y difundirse a todas las escuelas como parte de la asistencia técnica que se proveerá.</w:t>
      </w:r>
      <w:r w:rsidRPr="00BB36A5">
        <w:rPr>
          <w:rFonts w:asciiTheme="majorHAnsi" w:hAnsiTheme="majorHAnsi" w:cstheme="majorHAnsi"/>
          <w:color w:val="000000" w:themeColor="text1"/>
          <w:lang w:val="es-PR"/>
        </w:rPr>
        <w:t xml:space="preserve">  Sin embargo, 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tuvo que implementar procesos alternos para completar dicha tarea</w:t>
      </w:r>
      <w:r w:rsidR="00BB36A5" w:rsidRPr="00BB36A5">
        <w:rPr>
          <w:rFonts w:asciiTheme="majorHAnsi" w:hAnsiTheme="majorHAnsi" w:cstheme="majorHAnsi"/>
          <w:color w:val="000000" w:themeColor="text1"/>
          <w:lang w:val="es-PR"/>
        </w:rPr>
        <w:t>,</w:t>
      </w:r>
      <w:r w:rsidRPr="00BB36A5">
        <w:rPr>
          <w:rFonts w:asciiTheme="majorHAnsi" w:hAnsiTheme="majorHAnsi" w:cstheme="majorHAnsi"/>
          <w:color w:val="000000" w:themeColor="text1"/>
          <w:lang w:val="es-PR"/>
        </w:rPr>
        <w:t xml:space="preserve"> ya que no fueron posible las visitas presenciales.</w:t>
      </w:r>
      <w:r w:rsidR="004B239B" w:rsidRPr="00BB36A5">
        <w:rPr>
          <w:rFonts w:asciiTheme="majorHAnsi" w:hAnsiTheme="majorHAnsi" w:cstheme="majorHAnsi"/>
          <w:color w:val="000000" w:themeColor="text1"/>
          <w:lang w:val="es-PR"/>
        </w:rPr>
        <w:t xml:space="preserve">  La oficina de </w:t>
      </w:r>
      <w:proofErr w:type="spellStart"/>
      <w:r w:rsidR="004B239B"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004B239B" w:rsidRPr="00BB36A5">
        <w:rPr>
          <w:rFonts w:asciiTheme="majorHAnsi" w:hAnsiTheme="majorHAnsi" w:cstheme="majorHAnsi"/>
          <w:color w:val="000000" w:themeColor="text1"/>
          <w:lang w:val="es-PR"/>
        </w:rPr>
        <w:t>solicitará a las escuelas/</w:t>
      </w:r>
      <w:r w:rsidR="00BB36A5" w:rsidRPr="00BB36A5">
        <w:rPr>
          <w:rFonts w:asciiTheme="majorHAnsi" w:hAnsiTheme="majorHAnsi" w:cstheme="majorHAnsi"/>
          <w:color w:val="000000" w:themeColor="text1"/>
          <w:lang w:val="es-PR"/>
        </w:rPr>
        <w:t xml:space="preserve"> líder</w:t>
      </w:r>
      <w:r w:rsidR="004B239B" w:rsidRPr="00BB36A5">
        <w:rPr>
          <w:rFonts w:asciiTheme="majorHAnsi" w:hAnsiTheme="majorHAnsi" w:cstheme="majorHAnsi"/>
          <w:color w:val="000000" w:themeColor="text1"/>
          <w:lang w:val="es-PR"/>
        </w:rPr>
        <w:t xml:space="preserve"> de la iniciativa/</w:t>
      </w:r>
      <w:r w:rsidR="00BB36A5" w:rsidRPr="00BB36A5">
        <w:rPr>
          <w:rFonts w:asciiTheme="majorHAnsi" w:hAnsiTheme="majorHAnsi" w:cstheme="majorHAnsi"/>
          <w:color w:val="000000" w:themeColor="text1"/>
          <w:lang w:val="es-PR"/>
        </w:rPr>
        <w:t xml:space="preserve"> </w:t>
      </w:r>
      <w:r w:rsidR="004B239B" w:rsidRPr="00BB36A5">
        <w:rPr>
          <w:rFonts w:asciiTheme="majorHAnsi" w:hAnsiTheme="majorHAnsi" w:cstheme="majorHAnsi"/>
          <w:color w:val="000000" w:themeColor="text1"/>
          <w:lang w:val="es-PR"/>
        </w:rPr>
        <w:t>oficinas la documentación o información que no estaba disponible al momento de la monitoria</w:t>
      </w:r>
      <w:r w:rsidR="00BB36A5" w:rsidRPr="00BB36A5">
        <w:rPr>
          <w:rFonts w:asciiTheme="majorHAnsi" w:hAnsiTheme="majorHAnsi" w:cstheme="majorHAnsi"/>
          <w:color w:val="000000" w:themeColor="text1"/>
          <w:lang w:val="es-PR"/>
        </w:rPr>
        <w:t>,</w:t>
      </w:r>
      <w:r w:rsidR="004B239B" w:rsidRPr="00BB36A5">
        <w:rPr>
          <w:rFonts w:asciiTheme="majorHAnsi" w:hAnsiTheme="majorHAnsi" w:cstheme="majorHAnsi"/>
          <w:color w:val="000000" w:themeColor="text1"/>
          <w:lang w:val="es-PR"/>
        </w:rPr>
        <w:t xml:space="preserve"> a través de métodos electrónicos para estar en cumplimiento de los protocolos y salvaguardar al personal en las escuelas y en nivel central incluyendo a los consultores.</w:t>
      </w:r>
      <w:r w:rsidRPr="00BB36A5">
        <w:rPr>
          <w:rFonts w:asciiTheme="majorHAnsi" w:hAnsiTheme="majorHAnsi" w:cstheme="majorHAnsi"/>
          <w:color w:val="000000" w:themeColor="text1"/>
          <w:lang w:val="es-PR"/>
        </w:rPr>
        <w:t xml:space="preserve"> </w:t>
      </w:r>
    </w:p>
    <w:p w14:paraId="68F48300" w14:textId="628FC2B1" w:rsidR="007D6DEA" w:rsidRPr="00BB36A5" w:rsidRDefault="007D6DEA" w:rsidP="4093036A">
      <w:pPr>
        <w:pStyle w:val="Default"/>
        <w:jc w:val="both"/>
        <w:rPr>
          <w:rFonts w:asciiTheme="majorHAnsi" w:hAnsiTheme="majorHAnsi" w:cstheme="majorHAnsi"/>
          <w:color w:val="000000" w:themeColor="text1"/>
          <w:lang w:val="es-PR"/>
        </w:rPr>
      </w:pPr>
    </w:p>
    <w:p w14:paraId="60F7E5A9" w14:textId="66F2EE49" w:rsidR="00ED4D70" w:rsidRPr="00BB36A5" w:rsidRDefault="00882CB5" w:rsidP="4093036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Para las escuelas privadas, el proveedor externo desarrolló una rúbrica y está siendo utilizada por ellos con los archivos que contienen todos los documentos para cada una de las escuelas participantes en la muestra de las 27 escuelas durante las actividades de monitoria a distancia (Ver abajo)</w:t>
      </w:r>
    </w:p>
    <w:p w14:paraId="253BEB20" w14:textId="5BFAEE65" w:rsidR="00ED4D70" w:rsidRPr="00BB36A5" w:rsidRDefault="00ED4D70" w:rsidP="4093036A">
      <w:pPr>
        <w:pStyle w:val="Default"/>
        <w:jc w:val="both"/>
        <w:rPr>
          <w:rFonts w:asciiTheme="majorHAnsi" w:hAnsiTheme="majorHAnsi" w:cstheme="majorHAnsi"/>
          <w:color w:val="000000" w:themeColor="text1"/>
          <w:lang w:val="es-PR"/>
        </w:rPr>
      </w:pPr>
      <w:r w:rsidRPr="00BB36A5">
        <w:rPr>
          <w:rFonts w:asciiTheme="majorHAnsi" w:hAnsiTheme="majorHAnsi" w:cstheme="majorHAnsi"/>
          <w:noProof/>
          <w:color w:val="000000" w:themeColor="text1"/>
          <w:lang w:val="es-PR"/>
        </w:rPr>
        <w:drawing>
          <wp:inline distT="0" distB="0" distL="0" distR="0" wp14:anchorId="4D0C7640" wp14:editId="350A01FC">
            <wp:extent cx="6401435"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1435" cy="1341120"/>
                    </a:xfrm>
                    <a:prstGeom prst="rect">
                      <a:avLst/>
                    </a:prstGeom>
                    <a:noFill/>
                  </pic:spPr>
                </pic:pic>
              </a:graphicData>
            </a:graphic>
          </wp:inline>
        </w:drawing>
      </w:r>
    </w:p>
    <w:p w14:paraId="0D440884" w14:textId="77777777" w:rsidR="00C00F89" w:rsidRPr="00BB36A5" w:rsidRDefault="00C00F89" w:rsidP="4093036A">
      <w:pPr>
        <w:pStyle w:val="Default"/>
        <w:jc w:val="both"/>
        <w:rPr>
          <w:rFonts w:asciiTheme="majorHAnsi" w:hAnsiTheme="majorHAnsi" w:cstheme="majorHAnsi"/>
          <w:color w:val="000000" w:themeColor="text1"/>
          <w:lang w:val="es-PR"/>
        </w:rPr>
      </w:pPr>
    </w:p>
    <w:p w14:paraId="0E00DC91" w14:textId="49EDFB98" w:rsidR="00034F0A" w:rsidRPr="00BB36A5" w:rsidRDefault="00B50C81" w:rsidP="004A1115">
      <w:pPr>
        <w:pStyle w:val="Heading2"/>
        <w:rPr>
          <w:rFonts w:cstheme="majorHAnsi"/>
          <w:sz w:val="24"/>
          <w:szCs w:val="24"/>
          <w:lang w:val="es-PR"/>
        </w:rPr>
      </w:pPr>
      <w:r w:rsidRPr="00BB36A5">
        <w:rPr>
          <w:rFonts w:cstheme="majorHAnsi"/>
          <w:sz w:val="24"/>
          <w:szCs w:val="24"/>
          <w:lang w:val="es-PR"/>
        </w:rPr>
        <w:t>DEPR</w:t>
      </w:r>
      <w:r w:rsidR="00034F0A" w:rsidRPr="00BB36A5">
        <w:rPr>
          <w:rFonts w:cstheme="majorHAnsi"/>
          <w:sz w:val="24"/>
          <w:szCs w:val="24"/>
          <w:lang w:val="es-PR"/>
        </w:rPr>
        <w:t xml:space="preserve"> </w:t>
      </w:r>
      <w:r w:rsidRPr="00BB36A5">
        <w:rPr>
          <w:rFonts w:cstheme="majorHAnsi"/>
          <w:sz w:val="24"/>
          <w:szCs w:val="24"/>
          <w:lang w:val="es-PR"/>
        </w:rPr>
        <w:t>ASISTENCIA TECNICA</w:t>
      </w:r>
    </w:p>
    <w:p w14:paraId="0F4507D8" w14:textId="72A163B1" w:rsidR="00F43AB7" w:rsidRPr="00BB36A5" w:rsidRDefault="00F43AB7" w:rsidP="00034F0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La oficina de Nivel Central del DEPR supervisará el manejo general de la subvención y los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Como se mencionó, se encargarán de todos los aspectos de la administración de los fondos para pro</w:t>
      </w:r>
      <w:r w:rsidR="00585DFA" w:rsidRPr="00BB36A5">
        <w:rPr>
          <w:rFonts w:asciiTheme="majorHAnsi" w:hAnsiTheme="majorHAnsi" w:cstheme="majorHAnsi"/>
          <w:color w:val="000000" w:themeColor="text1"/>
          <w:lang w:val="es-PR"/>
        </w:rPr>
        <w:t>veer</w:t>
      </w:r>
      <w:r w:rsidRPr="00BB36A5">
        <w:rPr>
          <w:rFonts w:asciiTheme="majorHAnsi" w:hAnsiTheme="majorHAnsi" w:cstheme="majorHAnsi"/>
          <w:color w:val="000000" w:themeColor="text1"/>
          <w:lang w:val="es-PR"/>
        </w:rPr>
        <w:t xml:space="preserve"> la asistencia necesaria para todas las necesidades de la</w:t>
      </w:r>
      <w:r w:rsidR="00585DFA"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escuela</w:t>
      </w:r>
      <w:r w:rsidR="00585DFA"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pública</w:t>
      </w:r>
      <w:r w:rsidR="00585DFA"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 xml:space="preserve"> y privada</w:t>
      </w:r>
      <w:r w:rsidR="00585DFA" w:rsidRPr="00BB36A5">
        <w:rPr>
          <w:rFonts w:asciiTheme="majorHAnsi" w:hAnsiTheme="majorHAnsi" w:cstheme="majorHAnsi"/>
          <w:color w:val="000000" w:themeColor="text1"/>
          <w:lang w:val="es-PR"/>
        </w:rPr>
        <w:t>s</w:t>
      </w:r>
      <w:r w:rsidRPr="00BB36A5">
        <w:rPr>
          <w:rFonts w:asciiTheme="majorHAnsi" w:hAnsiTheme="majorHAnsi" w:cstheme="majorHAnsi"/>
          <w:color w:val="000000" w:themeColor="text1"/>
          <w:lang w:val="es-PR"/>
        </w:rPr>
        <w:t>.</w:t>
      </w:r>
    </w:p>
    <w:p w14:paraId="72803594" w14:textId="27118FAB" w:rsidR="002F30D5" w:rsidRPr="00BB36A5" w:rsidRDefault="002F30D5" w:rsidP="00034F0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DEPR ha proporcionado orientaciones sobre diversos temas relacionados con el </w:t>
      </w:r>
      <w:r w:rsidR="00AF6940" w:rsidRPr="00BB36A5">
        <w:rPr>
          <w:rFonts w:asciiTheme="majorHAnsi" w:hAnsiTheme="majorHAnsi" w:cstheme="majorHAnsi"/>
          <w:color w:val="000000" w:themeColor="text1"/>
          <w:lang w:val="es-PR"/>
        </w:rPr>
        <w:t>p</w:t>
      </w:r>
      <w:r w:rsidRPr="00BB36A5">
        <w:rPr>
          <w:rFonts w:asciiTheme="majorHAnsi" w:hAnsiTheme="majorHAnsi" w:cstheme="majorHAnsi"/>
          <w:color w:val="000000" w:themeColor="text1"/>
          <w:lang w:val="es-PR"/>
        </w:rPr>
        <w:t xml:space="preserve">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 xml:space="preserve"> a los monitores y a otro personal del DEPR. Esta actividad sigue en curso y el DEPR continuará los esfuerzos necesarios para seguir proveyendo más </w:t>
      </w:r>
      <w:r w:rsidR="00152136" w:rsidRPr="00BB36A5">
        <w:rPr>
          <w:rFonts w:asciiTheme="majorHAnsi" w:hAnsiTheme="majorHAnsi" w:cstheme="majorHAnsi"/>
          <w:color w:val="000000" w:themeColor="text1"/>
          <w:lang w:val="es-PR"/>
        </w:rPr>
        <w:t>adiestramientos</w:t>
      </w:r>
      <w:r w:rsidRPr="00BB36A5">
        <w:rPr>
          <w:rFonts w:asciiTheme="majorHAnsi" w:hAnsiTheme="majorHAnsi" w:cstheme="majorHAnsi"/>
          <w:color w:val="000000" w:themeColor="text1"/>
          <w:lang w:val="es-PR"/>
        </w:rPr>
        <w:t xml:space="preserve"> al personal clave que trabaja con este programa federal.</w:t>
      </w:r>
    </w:p>
    <w:p w14:paraId="7E392B0F" w14:textId="77777777" w:rsidR="00034F0A" w:rsidRPr="00BB36A5" w:rsidRDefault="00034F0A" w:rsidP="00034F0A">
      <w:pPr>
        <w:pStyle w:val="Default"/>
        <w:jc w:val="both"/>
        <w:rPr>
          <w:rFonts w:asciiTheme="majorHAnsi" w:hAnsiTheme="majorHAnsi" w:cstheme="majorHAnsi"/>
          <w:color w:val="000000" w:themeColor="text1"/>
          <w:lang w:val="es-PR"/>
        </w:rPr>
      </w:pPr>
    </w:p>
    <w:p w14:paraId="03AB9459" w14:textId="2C707F17" w:rsidR="00152136" w:rsidRPr="00BB36A5" w:rsidRDefault="00152136" w:rsidP="00034F0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DEPR también está desarrollando adiestramientos para las personas a nivel regional que apoyarán la implementación de los programas financiados por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 xml:space="preserve">y para el personal de la Unidad de </w:t>
      </w:r>
      <w:r w:rsidR="00AF6940" w:rsidRPr="00BB36A5">
        <w:rPr>
          <w:rFonts w:asciiTheme="majorHAnsi" w:hAnsiTheme="majorHAnsi" w:cstheme="majorHAnsi"/>
          <w:color w:val="000000" w:themeColor="text1"/>
          <w:lang w:val="es-PR"/>
        </w:rPr>
        <w:t>Contratación del DEPR.</w:t>
      </w:r>
      <w:r w:rsidRPr="00BB36A5">
        <w:rPr>
          <w:rFonts w:asciiTheme="majorHAnsi" w:hAnsiTheme="majorHAnsi" w:cstheme="majorHAnsi"/>
          <w:color w:val="000000" w:themeColor="text1"/>
          <w:lang w:val="es-PR"/>
        </w:rPr>
        <w:t xml:space="preserve"> Estos adiestramientos se enfocarán en el siguiente contenido: </w:t>
      </w:r>
    </w:p>
    <w:p w14:paraId="17C55D2E" w14:textId="50AFFB46" w:rsidR="00034F0A" w:rsidRPr="00BB36A5" w:rsidRDefault="00152136" w:rsidP="00342E9E">
      <w:pPr>
        <w:pStyle w:val="Default"/>
        <w:numPr>
          <w:ilvl w:val="0"/>
          <w:numId w:val="15"/>
        </w:num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El propósito del Programa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i/>
          <w:iCs/>
          <w:color w:val="000000" w:themeColor="text1"/>
          <w:lang w:val="es-PR"/>
        </w:rPr>
        <w:t xml:space="preserve"> </w:t>
      </w:r>
      <w:r w:rsidRPr="00BB36A5">
        <w:rPr>
          <w:rFonts w:asciiTheme="majorHAnsi" w:hAnsiTheme="majorHAnsi" w:cstheme="majorHAnsi"/>
          <w:color w:val="000000" w:themeColor="text1"/>
          <w:lang w:val="es-PR"/>
        </w:rPr>
        <w:t>y requerimientos</w:t>
      </w:r>
    </w:p>
    <w:p w14:paraId="09946217" w14:textId="5FD2B02F" w:rsidR="00034F0A" w:rsidRPr="00BB36A5" w:rsidRDefault="00034F0A" w:rsidP="00342E9E">
      <w:pPr>
        <w:pStyle w:val="Default"/>
        <w:numPr>
          <w:ilvl w:val="0"/>
          <w:numId w:val="15"/>
        </w:num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Data </w:t>
      </w:r>
      <w:r w:rsidR="00152136" w:rsidRPr="00BB36A5">
        <w:rPr>
          <w:rFonts w:asciiTheme="majorHAnsi" w:hAnsiTheme="majorHAnsi" w:cstheme="majorHAnsi"/>
          <w:color w:val="000000" w:themeColor="text1"/>
          <w:lang w:val="es-PR"/>
        </w:rPr>
        <w:t>en la distribución de los fondos y sus recursos</w:t>
      </w:r>
    </w:p>
    <w:p w14:paraId="1C83BE8F" w14:textId="319B43C9" w:rsidR="00034F0A" w:rsidRPr="00BB36A5" w:rsidRDefault="00152136" w:rsidP="00342E9E">
      <w:pPr>
        <w:pStyle w:val="Default"/>
        <w:numPr>
          <w:ilvl w:val="0"/>
          <w:numId w:val="15"/>
        </w:numPr>
        <w:jc w:val="both"/>
        <w:rPr>
          <w:rFonts w:asciiTheme="majorHAnsi" w:hAnsiTheme="majorHAnsi" w:cstheme="majorHAnsi"/>
          <w:i/>
          <w:iCs/>
          <w:color w:val="000000" w:themeColor="text1"/>
          <w:lang w:val="es-PR"/>
        </w:rPr>
      </w:pPr>
      <w:r w:rsidRPr="00BB36A5">
        <w:rPr>
          <w:rFonts w:asciiTheme="majorHAnsi" w:hAnsiTheme="majorHAnsi" w:cstheme="majorHAnsi"/>
          <w:color w:val="000000" w:themeColor="text1"/>
          <w:lang w:val="es-PR"/>
        </w:rPr>
        <w:t xml:space="preserve">Las expectativas del </w:t>
      </w:r>
      <w:r w:rsidR="00034F0A" w:rsidRPr="00BB36A5">
        <w:rPr>
          <w:rFonts w:asciiTheme="majorHAnsi" w:hAnsiTheme="majorHAnsi" w:cstheme="majorHAnsi"/>
          <w:color w:val="000000" w:themeColor="text1"/>
          <w:lang w:val="es-PR"/>
        </w:rPr>
        <w:t>DE</w:t>
      </w:r>
      <w:r w:rsidRPr="00BB36A5">
        <w:rPr>
          <w:rFonts w:asciiTheme="majorHAnsi" w:hAnsiTheme="majorHAnsi" w:cstheme="majorHAnsi"/>
          <w:color w:val="000000" w:themeColor="text1"/>
          <w:lang w:val="es-PR"/>
        </w:rPr>
        <w:t>PR</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para la</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implementación y el uso permisible de los fondos</w:t>
      </w:r>
      <w:r w:rsidR="00034F0A" w:rsidRPr="00BB36A5">
        <w:rPr>
          <w:rFonts w:asciiTheme="majorHAnsi" w:hAnsiTheme="majorHAnsi" w:cstheme="majorHAnsi"/>
          <w:color w:val="000000" w:themeColor="text1"/>
          <w:lang w:val="es-PR"/>
        </w:rPr>
        <w:t xml:space="preserve"> </w:t>
      </w:r>
      <w:proofErr w:type="spellStart"/>
      <w:r w:rsidR="00034F0A" w:rsidRPr="00BB36A5">
        <w:rPr>
          <w:rFonts w:asciiTheme="majorHAnsi" w:hAnsiTheme="majorHAnsi" w:cstheme="majorHAnsi"/>
          <w:i/>
          <w:iCs/>
          <w:color w:val="000000" w:themeColor="text1"/>
          <w:lang w:val="es-PR"/>
        </w:rPr>
        <w:t>Restar</w:t>
      </w:r>
      <w:r w:rsidRPr="00BB36A5">
        <w:rPr>
          <w:rFonts w:asciiTheme="majorHAnsi" w:hAnsiTheme="majorHAnsi" w:cstheme="majorHAnsi"/>
          <w:i/>
          <w:iCs/>
          <w:color w:val="000000" w:themeColor="text1"/>
          <w:lang w:val="es-PR"/>
        </w:rPr>
        <w:t>t</w:t>
      </w:r>
      <w:proofErr w:type="spellEnd"/>
    </w:p>
    <w:p w14:paraId="05324241" w14:textId="74B5663E" w:rsidR="00034F0A" w:rsidRPr="00BB36A5" w:rsidRDefault="003430E5" w:rsidP="00342E9E">
      <w:pPr>
        <w:pStyle w:val="Default"/>
        <w:numPr>
          <w:ilvl w:val="0"/>
          <w:numId w:val="15"/>
        </w:num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Roles y responsabilidades de los Monitores Lideres</w:t>
      </w:r>
    </w:p>
    <w:p w14:paraId="742463F8" w14:textId="55FDB936" w:rsidR="00034F0A" w:rsidRPr="00BB36A5" w:rsidRDefault="003430E5" w:rsidP="00342E9E">
      <w:pPr>
        <w:pStyle w:val="Default"/>
        <w:numPr>
          <w:ilvl w:val="0"/>
          <w:numId w:val="15"/>
        </w:num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Informes/reportes regionales</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plantillas</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y</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líneas de tiempo</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en desarrollo</w:t>
      </w:r>
      <w:r w:rsidR="00034F0A" w:rsidRPr="00BB36A5">
        <w:rPr>
          <w:rFonts w:asciiTheme="majorHAnsi" w:hAnsiTheme="majorHAnsi" w:cstheme="majorHAnsi"/>
          <w:color w:val="000000" w:themeColor="text1"/>
          <w:lang w:val="es-PR"/>
        </w:rPr>
        <w:t>)</w:t>
      </w:r>
      <w:r w:rsidRPr="00BB36A5">
        <w:rPr>
          <w:rFonts w:asciiTheme="majorHAnsi" w:hAnsiTheme="majorHAnsi" w:cstheme="majorHAnsi"/>
          <w:lang w:val="es-PR"/>
        </w:rPr>
        <w:t xml:space="preserve"> </w:t>
      </w:r>
    </w:p>
    <w:p w14:paraId="331C0F50" w14:textId="1D9908EF" w:rsidR="00034F0A" w:rsidRPr="00BB36A5" w:rsidRDefault="003430E5" w:rsidP="00342E9E">
      <w:pPr>
        <w:pStyle w:val="Default"/>
        <w:numPr>
          <w:ilvl w:val="0"/>
          <w:numId w:val="15"/>
        </w:numPr>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Informes/Reportes de las escuelas</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y línea de tiempo</w:t>
      </w:r>
      <w:r w:rsidR="00034F0A" w:rsidRPr="00BB36A5">
        <w:rPr>
          <w:rFonts w:asciiTheme="majorHAnsi" w:hAnsiTheme="majorHAnsi" w:cstheme="majorHAnsi"/>
          <w:color w:val="000000" w:themeColor="text1"/>
          <w:lang w:val="es-PR"/>
        </w:rPr>
        <w:t xml:space="preserve"> (</w:t>
      </w:r>
      <w:r w:rsidRPr="00BB36A5">
        <w:rPr>
          <w:rFonts w:asciiTheme="majorHAnsi" w:hAnsiTheme="majorHAnsi" w:cstheme="majorHAnsi"/>
          <w:color w:val="000000" w:themeColor="text1"/>
          <w:lang w:val="es-PR"/>
        </w:rPr>
        <w:t>en desarrollo</w:t>
      </w:r>
      <w:r w:rsidR="00034F0A" w:rsidRPr="00BB36A5">
        <w:rPr>
          <w:rFonts w:asciiTheme="majorHAnsi" w:hAnsiTheme="majorHAnsi" w:cstheme="majorHAnsi"/>
          <w:color w:val="000000" w:themeColor="text1"/>
          <w:lang w:val="es-PR"/>
        </w:rPr>
        <w:t>)</w:t>
      </w:r>
    </w:p>
    <w:p w14:paraId="56845165" w14:textId="77777777" w:rsidR="00034F0A" w:rsidRPr="00BB36A5" w:rsidRDefault="00034F0A" w:rsidP="00034F0A">
      <w:pPr>
        <w:pStyle w:val="Default"/>
        <w:jc w:val="both"/>
        <w:rPr>
          <w:rFonts w:asciiTheme="majorHAnsi" w:hAnsiTheme="majorHAnsi" w:cstheme="majorHAnsi"/>
          <w:color w:val="000000" w:themeColor="text1"/>
          <w:lang w:val="es-PR"/>
        </w:rPr>
      </w:pPr>
    </w:p>
    <w:p w14:paraId="13439999" w14:textId="7B2AD3F1" w:rsidR="002B2AE9" w:rsidRPr="00BB36A5" w:rsidRDefault="002B2AE9" w:rsidP="00034F0A">
      <w:pPr>
        <w:pStyle w:val="BodyText"/>
        <w:ind w:right="112"/>
        <w:jc w:val="both"/>
        <w:rPr>
          <w:rFonts w:asciiTheme="majorHAnsi" w:hAnsiTheme="majorHAnsi" w:cstheme="majorHAnsi"/>
          <w:color w:val="000000" w:themeColor="text1"/>
          <w:sz w:val="24"/>
          <w:szCs w:val="24"/>
          <w:lang w:val="es-PR"/>
        </w:rPr>
      </w:pPr>
      <w:r w:rsidRPr="00BB36A5">
        <w:rPr>
          <w:rFonts w:asciiTheme="majorHAnsi" w:hAnsiTheme="majorHAnsi" w:cstheme="majorHAnsi"/>
          <w:color w:val="000000" w:themeColor="text1"/>
          <w:sz w:val="24"/>
          <w:szCs w:val="24"/>
          <w:lang w:val="es-PR"/>
        </w:rPr>
        <w:t xml:space="preserve">Con el fin de </w:t>
      </w:r>
      <w:r w:rsidR="001A2494" w:rsidRPr="00BB36A5">
        <w:rPr>
          <w:rFonts w:asciiTheme="majorHAnsi" w:hAnsiTheme="majorHAnsi" w:cstheme="majorHAnsi"/>
          <w:color w:val="000000" w:themeColor="text1"/>
          <w:sz w:val="24"/>
          <w:szCs w:val="24"/>
          <w:lang w:val="es-PR"/>
        </w:rPr>
        <w:t>adiestrar</w:t>
      </w:r>
      <w:r w:rsidRPr="00BB36A5">
        <w:rPr>
          <w:rFonts w:asciiTheme="majorHAnsi" w:hAnsiTheme="majorHAnsi" w:cstheme="majorHAnsi"/>
          <w:color w:val="000000" w:themeColor="text1"/>
          <w:sz w:val="24"/>
          <w:szCs w:val="24"/>
          <w:lang w:val="es-PR"/>
        </w:rPr>
        <w:t xml:space="preserve"> al personal adecuado, </w:t>
      </w:r>
      <w:r w:rsidR="001A2494" w:rsidRPr="00BB36A5">
        <w:rPr>
          <w:rFonts w:asciiTheme="majorHAnsi" w:hAnsiTheme="majorHAnsi" w:cstheme="majorHAnsi"/>
          <w:color w:val="000000" w:themeColor="text1"/>
          <w:sz w:val="24"/>
          <w:szCs w:val="24"/>
          <w:lang w:val="es-PR"/>
        </w:rPr>
        <w:t xml:space="preserve">el DEPR </w:t>
      </w:r>
      <w:r w:rsidRPr="00BB36A5">
        <w:rPr>
          <w:rFonts w:asciiTheme="majorHAnsi" w:hAnsiTheme="majorHAnsi" w:cstheme="majorHAnsi"/>
          <w:color w:val="000000" w:themeColor="text1"/>
          <w:sz w:val="24"/>
          <w:szCs w:val="24"/>
          <w:lang w:val="es-PR"/>
        </w:rPr>
        <w:t xml:space="preserve">utilizará la información incluida en las guías (FAQ) publicadas por el USDE. </w:t>
      </w:r>
      <w:r w:rsidR="001A2494" w:rsidRPr="00BB36A5">
        <w:rPr>
          <w:rFonts w:asciiTheme="majorHAnsi" w:hAnsiTheme="majorHAnsi" w:cstheme="majorHAnsi"/>
          <w:color w:val="000000" w:themeColor="text1"/>
          <w:sz w:val="24"/>
          <w:szCs w:val="24"/>
          <w:lang w:val="es-PR"/>
        </w:rPr>
        <w:t>El DEPR,</w:t>
      </w:r>
      <w:r w:rsidRPr="00BB36A5">
        <w:rPr>
          <w:rFonts w:asciiTheme="majorHAnsi" w:hAnsiTheme="majorHAnsi" w:cstheme="majorHAnsi"/>
          <w:color w:val="000000" w:themeColor="text1"/>
          <w:sz w:val="24"/>
          <w:szCs w:val="24"/>
          <w:lang w:val="es-PR"/>
        </w:rPr>
        <w:t xml:space="preserve"> también se asegurará de que </w:t>
      </w:r>
      <w:r w:rsidR="001A2494" w:rsidRPr="00BB36A5">
        <w:rPr>
          <w:rFonts w:asciiTheme="majorHAnsi" w:hAnsiTheme="majorHAnsi" w:cstheme="majorHAnsi"/>
          <w:color w:val="000000" w:themeColor="text1"/>
          <w:sz w:val="24"/>
          <w:szCs w:val="24"/>
          <w:lang w:val="es-PR"/>
        </w:rPr>
        <w:t>se provea</w:t>
      </w:r>
      <w:r w:rsidRPr="00BB36A5">
        <w:rPr>
          <w:rFonts w:asciiTheme="majorHAnsi" w:hAnsiTheme="majorHAnsi" w:cstheme="majorHAnsi"/>
          <w:color w:val="000000" w:themeColor="text1"/>
          <w:sz w:val="24"/>
          <w:szCs w:val="24"/>
          <w:lang w:val="es-PR"/>
        </w:rPr>
        <w:t xml:space="preserve"> acceso a los recursos en línea, inclu</w:t>
      </w:r>
      <w:r w:rsidR="001A2494" w:rsidRPr="00BB36A5">
        <w:rPr>
          <w:rFonts w:asciiTheme="majorHAnsi" w:hAnsiTheme="majorHAnsi" w:cstheme="majorHAnsi"/>
          <w:color w:val="000000" w:themeColor="text1"/>
          <w:sz w:val="24"/>
          <w:szCs w:val="24"/>
          <w:lang w:val="es-PR"/>
        </w:rPr>
        <w:t>yendo</w:t>
      </w:r>
      <w:r w:rsidRPr="00BB36A5">
        <w:rPr>
          <w:rFonts w:asciiTheme="majorHAnsi" w:hAnsiTheme="majorHAnsi" w:cstheme="majorHAnsi"/>
          <w:color w:val="000000" w:themeColor="text1"/>
          <w:sz w:val="24"/>
          <w:szCs w:val="24"/>
          <w:lang w:val="es-PR"/>
        </w:rPr>
        <w:t xml:space="preserve"> </w:t>
      </w:r>
      <w:r w:rsidRPr="00BB36A5">
        <w:rPr>
          <w:rFonts w:asciiTheme="majorHAnsi" w:hAnsiTheme="majorHAnsi" w:cstheme="majorHAnsi"/>
          <w:i/>
          <w:iCs/>
          <w:color w:val="000000" w:themeColor="text1"/>
          <w:sz w:val="24"/>
          <w:szCs w:val="24"/>
          <w:lang w:val="es-PR"/>
        </w:rPr>
        <w:t>kits</w:t>
      </w:r>
      <w:r w:rsidRPr="00BB36A5">
        <w:rPr>
          <w:rFonts w:asciiTheme="majorHAnsi" w:hAnsiTheme="majorHAnsi" w:cstheme="majorHAnsi"/>
          <w:color w:val="000000" w:themeColor="text1"/>
          <w:sz w:val="24"/>
          <w:szCs w:val="24"/>
          <w:lang w:val="es-PR"/>
        </w:rPr>
        <w:t xml:space="preserve"> de </w:t>
      </w:r>
      <w:r w:rsidR="001A2494" w:rsidRPr="00BB36A5">
        <w:rPr>
          <w:rFonts w:asciiTheme="majorHAnsi" w:hAnsiTheme="majorHAnsi" w:cstheme="majorHAnsi"/>
          <w:color w:val="000000" w:themeColor="text1"/>
          <w:sz w:val="24"/>
          <w:szCs w:val="24"/>
          <w:lang w:val="es-PR"/>
        </w:rPr>
        <w:t>instrumentos</w:t>
      </w:r>
      <w:r w:rsidRPr="00BB36A5">
        <w:rPr>
          <w:rFonts w:asciiTheme="majorHAnsi" w:hAnsiTheme="majorHAnsi" w:cstheme="majorHAnsi"/>
          <w:color w:val="000000" w:themeColor="text1"/>
          <w:sz w:val="24"/>
          <w:szCs w:val="24"/>
          <w:lang w:val="es-PR"/>
        </w:rPr>
        <w:t>, plantillas y documentación</w:t>
      </w:r>
      <w:r w:rsidR="001A2494" w:rsidRPr="00BB36A5">
        <w:rPr>
          <w:rFonts w:asciiTheme="majorHAnsi" w:hAnsiTheme="majorHAnsi" w:cstheme="majorHAnsi"/>
          <w:color w:val="000000" w:themeColor="text1"/>
          <w:sz w:val="24"/>
          <w:szCs w:val="24"/>
          <w:lang w:val="es-PR"/>
        </w:rPr>
        <w:t xml:space="preserve"> </w:t>
      </w:r>
      <w:r w:rsidRPr="00BB36A5">
        <w:rPr>
          <w:rFonts w:asciiTheme="majorHAnsi" w:hAnsiTheme="majorHAnsi" w:cstheme="majorHAnsi"/>
          <w:color w:val="000000" w:themeColor="text1"/>
          <w:sz w:val="24"/>
          <w:szCs w:val="24"/>
          <w:lang w:val="es-PR"/>
        </w:rPr>
        <w:t xml:space="preserve">para proporcionar a los Asistentes Técnicos Regionales el apoyo necesario. Los temas </w:t>
      </w:r>
      <w:r w:rsidR="001A2494" w:rsidRPr="00BB36A5">
        <w:rPr>
          <w:rFonts w:asciiTheme="majorHAnsi" w:hAnsiTheme="majorHAnsi" w:cstheme="majorHAnsi"/>
          <w:color w:val="000000" w:themeColor="text1"/>
          <w:sz w:val="24"/>
          <w:szCs w:val="24"/>
          <w:lang w:val="es-PR"/>
        </w:rPr>
        <w:t>darán prioridad a</w:t>
      </w:r>
      <w:r w:rsidRPr="00BB36A5">
        <w:rPr>
          <w:rFonts w:asciiTheme="majorHAnsi" w:hAnsiTheme="majorHAnsi" w:cstheme="majorHAnsi"/>
          <w:color w:val="000000" w:themeColor="text1"/>
          <w:sz w:val="24"/>
          <w:szCs w:val="24"/>
          <w:lang w:val="es-PR"/>
        </w:rPr>
        <w:t xml:space="preserve"> las actividades permi</w:t>
      </w:r>
      <w:r w:rsidR="001A2494" w:rsidRPr="00BB36A5">
        <w:rPr>
          <w:rFonts w:asciiTheme="majorHAnsi" w:hAnsiTheme="majorHAnsi" w:cstheme="majorHAnsi"/>
          <w:color w:val="000000" w:themeColor="text1"/>
          <w:sz w:val="24"/>
          <w:szCs w:val="24"/>
          <w:lang w:val="es-PR"/>
        </w:rPr>
        <w:t>sibles</w:t>
      </w:r>
      <w:r w:rsidRPr="00BB36A5">
        <w:rPr>
          <w:rFonts w:asciiTheme="majorHAnsi" w:hAnsiTheme="majorHAnsi" w:cstheme="majorHAnsi"/>
          <w:color w:val="000000" w:themeColor="text1"/>
          <w:sz w:val="24"/>
          <w:szCs w:val="24"/>
          <w:lang w:val="es-PR"/>
        </w:rPr>
        <w:t xml:space="preserve">, la razonabilidad </w:t>
      </w:r>
      <w:r w:rsidRPr="00BB36A5">
        <w:rPr>
          <w:rFonts w:asciiTheme="majorHAnsi" w:hAnsiTheme="majorHAnsi" w:cstheme="majorHAnsi"/>
          <w:color w:val="000000" w:themeColor="text1"/>
          <w:sz w:val="24"/>
          <w:szCs w:val="24"/>
          <w:lang w:val="es-PR"/>
        </w:rPr>
        <w:lastRenderedPageBreak/>
        <w:t xml:space="preserve">de los costos, los </w:t>
      </w:r>
      <w:r w:rsidR="001A2494" w:rsidRPr="00BB36A5">
        <w:rPr>
          <w:rFonts w:asciiTheme="majorHAnsi" w:hAnsiTheme="majorHAnsi" w:cstheme="majorHAnsi"/>
          <w:color w:val="000000" w:themeColor="text1"/>
          <w:sz w:val="24"/>
          <w:szCs w:val="24"/>
          <w:lang w:val="es-PR"/>
        </w:rPr>
        <w:t>procesos de compras</w:t>
      </w:r>
      <w:r w:rsidRPr="00BB36A5">
        <w:rPr>
          <w:rFonts w:asciiTheme="majorHAnsi" w:hAnsiTheme="majorHAnsi" w:cstheme="majorHAnsi"/>
          <w:color w:val="000000" w:themeColor="text1"/>
          <w:sz w:val="24"/>
          <w:szCs w:val="24"/>
          <w:lang w:val="es-PR"/>
        </w:rPr>
        <w:t xml:space="preserve"> y </w:t>
      </w:r>
      <w:r w:rsidR="001A2494" w:rsidRPr="00BB36A5">
        <w:rPr>
          <w:rFonts w:asciiTheme="majorHAnsi" w:hAnsiTheme="majorHAnsi" w:cstheme="majorHAnsi"/>
          <w:color w:val="000000" w:themeColor="text1"/>
          <w:sz w:val="24"/>
          <w:szCs w:val="24"/>
          <w:lang w:val="es-PR"/>
        </w:rPr>
        <w:t xml:space="preserve">que el uso de los mismos debe ser para </w:t>
      </w:r>
      <w:r w:rsidRPr="00BB36A5">
        <w:rPr>
          <w:rFonts w:asciiTheme="majorHAnsi" w:hAnsiTheme="majorHAnsi" w:cstheme="majorHAnsi"/>
          <w:color w:val="000000" w:themeColor="text1"/>
          <w:sz w:val="24"/>
          <w:szCs w:val="24"/>
          <w:lang w:val="es-PR"/>
        </w:rPr>
        <w:t>complementar</w:t>
      </w:r>
      <w:r w:rsidR="001A2494" w:rsidRPr="00BB36A5">
        <w:rPr>
          <w:rFonts w:asciiTheme="majorHAnsi" w:hAnsiTheme="majorHAnsi" w:cstheme="majorHAnsi"/>
          <w:color w:val="000000" w:themeColor="text1"/>
          <w:sz w:val="24"/>
          <w:szCs w:val="24"/>
          <w:lang w:val="es-PR"/>
        </w:rPr>
        <w:t xml:space="preserve"> y</w:t>
      </w:r>
      <w:r w:rsidRPr="00BB36A5">
        <w:rPr>
          <w:rFonts w:asciiTheme="majorHAnsi" w:hAnsiTheme="majorHAnsi" w:cstheme="majorHAnsi"/>
          <w:color w:val="000000" w:themeColor="text1"/>
          <w:sz w:val="24"/>
          <w:szCs w:val="24"/>
          <w:lang w:val="es-PR"/>
        </w:rPr>
        <w:t xml:space="preserve"> no suplantar, entre otros.</w:t>
      </w:r>
    </w:p>
    <w:p w14:paraId="70A0E71A" w14:textId="77777777" w:rsidR="002B2AE9" w:rsidRPr="00BB36A5" w:rsidRDefault="002B2AE9" w:rsidP="00034F0A">
      <w:pPr>
        <w:pStyle w:val="BodyText"/>
        <w:ind w:right="112"/>
        <w:jc w:val="both"/>
        <w:rPr>
          <w:rFonts w:asciiTheme="majorHAnsi" w:hAnsiTheme="majorHAnsi" w:cstheme="majorHAnsi"/>
          <w:color w:val="000000" w:themeColor="text1"/>
          <w:sz w:val="24"/>
          <w:szCs w:val="24"/>
          <w:lang w:val="es-PR"/>
        </w:rPr>
      </w:pPr>
    </w:p>
    <w:p w14:paraId="004A6E8B" w14:textId="77777777" w:rsidR="002B2AE9" w:rsidRPr="00BB36A5" w:rsidRDefault="002B2AE9" w:rsidP="00034F0A">
      <w:pPr>
        <w:pStyle w:val="BodyText"/>
        <w:ind w:right="112"/>
        <w:jc w:val="both"/>
        <w:rPr>
          <w:rFonts w:asciiTheme="majorHAnsi" w:hAnsiTheme="majorHAnsi" w:cstheme="majorHAnsi"/>
          <w:color w:val="000000" w:themeColor="text1"/>
          <w:sz w:val="24"/>
          <w:szCs w:val="24"/>
          <w:lang w:val="es-PR"/>
        </w:rPr>
      </w:pPr>
    </w:p>
    <w:p w14:paraId="281C7B50" w14:textId="56CF08D6" w:rsidR="00034F0A" w:rsidRPr="00BB36A5" w:rsidRDefault="00B50C81" w:rsidP="00C16601">
      <w:pPr>
        <w:pStyle w:val="Heading2"/>
        <w:rPr>
          <w:rFonts w:cstheme="majorHAnsi"/>
          <w:sz w:val="24"/>
          <w:szCs w:val="24"/>
          <w:lang w:val="es-PR"/>
        </w:rPr>
      </w:pPr>
      <w:r w:rsidRPr="00BB36A5">
        <w:rPr>
          <w:rFonts w:cstheme="majorHAnsi"/>
          <w:sz w:val="24"/>
          <w:szCs w:val="24"/>
          <w:lang w:val="es-PR"/>
        </w:rPr>
        <w:t xml:space="preserve">Asistentes </w:t>
      </w:r>
      <w:r w:rsidR="006769FF" w:rsidRPr="00BB36A5">
        <w:rPr>
          <w:rFonts w:cstheme="majorHAnsi"/>
          <w:sz w:val="24"/>
          <w:szCs w:val="24"/>
          <w:lang w:val="es-PR"/>
        </w:rPr>
        <w:t>Técnicos</w:t>
      </w:r>
      <w:r w:rsidRPr="00BB36A5">
        <w:rPr>
          <w:rFonts w:cstheme="majorHAnsi"/>
          <w:sz w:val="24"/>
          <w:szCs w:val="24"/>
          <w:lang w:val="es-PR"/>
        </w:rPr>
        <w:t xml:space="preserve"> Regionales</w:t>
      </w:r>
    </w:p>
    <w:p w14:paraId="10D3753D" w14:textId="73B4EF90" w:rsidR="006769FF" w:rsidRPr="00BB36A5" w:rsidRDefault="006769FF" w:rsidP="00034F0A">
      <w:pPr>
        <w:pStyle w:val="Default"/>
        <w:spacing w:after="9"/>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A base de los adiestramientos antes mencionados provistos por el DEPR, los Asistentes Técnicos Regionales (Programa de Coordinadores Regionales para Asuntos Federales y los monitores regionales) proporcionarán adiestramiento y orientación a sus escuelas sobre políticas y procedimientos para los fondos de </w:t>
      </w:r>
      <w:proofErr w:type="spellStart"/>
      <w:r w:rsidRPr="00BB36A5">
        <w:rPr>
          <w:rFonts w:asciiTheme="majorHAnsi" w:hAnsiTheme="majorHAnsi" w:cstheme="majorHAnsi"/>
          <w:i/>
          <w:iCs/>
          <w:color w:val="000000" w:themeColor="text1"/>
          <w:lang w:val="es-PR"/>
        </w:rPr>
        <w:t>Restart</w:t>
      </w:r>
      <w:proofErr w:type="spellEnd"/>
      <w:r w:rsidRPr="00BB36A5">
        <w:rPr>
          <w:rFonts w:asciiTheme="majorHAnsi" w:hAnsiTheme="majorHAnsi" w:cstheme="majorHAnsi"/>
          <w:color w:val="000000" w:themeColor="text1"/>
          <w:lang w:val="es-PR"/>
        </w:rPr>
        <w:t>.</w:t>
      </w:r>
    </w:p>
    <w:p w14:paraId="6B44B62F" w14:textId="77777777" w:rsidR="00034F0A" w:rsidRPr="00BB36A5" w:rsidRDefault="00034F0A" w:rsidP="00034F0A">
      <w:pPr>
        <w:pStyle w:val="Default"/>
        <w:spacing w:after="9"/>
        <w:jc w:val="both"/>
        <w:rPr>
          <w:rFonts w:asciiTheme="majorHAnsi" w:hAnsiTheme="majorHAnsi" w:cstheme="majorHAnsi"/>
          <w:color w:val="000000" w:themeColor="text1"/>
          <w:lang w:val="es-PR"/>
        </w:rPr>
      </w:pPr>
    </w:p>
    <w:p w14:paraId="714DBBBF" w14:textId="462F6D39" w:rsidR="006769FF" w:rsidRPr="00BB36A5" w:rsidRDefault="006769FF" w:rsidP="00034F0A">
      <w:pPr>
        <w:pStyle w:val="Default"/>
        <w:jc w:val="both"/>
        <w:rPr>
          <w:rFonts w:asciiTheme="majorHAnsi" w:hAnsiTheme="majorHAnsi" w:cstheme="majorHAnsi"/>
          <w:color w:val="000000" w:themeColor="text1"/>
          <w:lang w:val="es-PR"/>
        </w:rPr>
      </w:pPr>
      <w:r w:rsidRPr="00BB36A5">
        <w:rPr>
          <w:rFonts w:asciiTheme="majorHAnsi" w:hAnsiTheme="majorHAnsi" w:cstheme="majorHAnsi"/>
          <w:color w:val="000000" w:themeColor="text1"/>
          <w:lang w:val="es-PR"/>
        </w:rPr>
        <w:t xml:space="preserve">Los Asistentes Técnicos Regionales también utilizarán la información recopilada de las visitas de monitoreo para apoyar a las escuelas en cualquier reto de desempeño e implementación. Los datos recopilados durante la monitoria y la </w:t>
      </w:r>
      <w:r w:rsidR="00B32A06" w:rsidRPr="00BB36A5">
        <w:rPr>
          <w:rFonts w:asciiTheme="majorHAnsi" w:hAnsiTheme="majorHAnsi" w:cstheme="majorHAnsi"/>
          <w:color w:val="000000" w:themeColor="text1"/>
          <w:lang w:val="es-PR"/>
        </w:rPr>
        <w:t>evaluación</w:t>
      </w:r>
      <w:r w:rsidRPr="00BB36A5">
        <w:rPr>
          <w:rFonts w:asciiTheme="majorHAnsi" w:hAnsiTheme="majorHAnsi" w:cstheme="majorHAnsi"/>
          <w:color w:val="000000" w:themeColor="text1"/>
          <w:lang w:val="es-PR"/>
        </w:rPr>
        <w:t xml:space="preserve"> del riesgo serán utilizados por los Asistentes Técnicos Regionales para identificar temas que requieran orientación adicional y </w:t>
      </w:r>
      <w:r w:rsidR="00B32A06" w:rsidRPr="00BB36A5">
        <w:rPr>
          <w:rFonts w:asciiTheme="majorHAnsi" w:hAnsiTheme="majorHAnsi" w:cstheme="majorHAnsi"/>
          <w:color w:val="000000" w:themeColor="text1"/>
          <w:lang w:val="es-PR"/>
        </w:rPr>
        <w:t>acciones</w:t>
      </w:r>
      <w:r w:rsidRPr="00BB36A5">
        <w:rPr>
          <w:rFonts w:asciiTheme="majorHAnsi" w:hAnsiTheme="majorHAnsi" w:cstheme="majorHAnsi"/>
          <w:color w:val="000000" w:themeColor="text1"/>
          <w:lang w:val="es-PR"/>
        </w:rPr>
        <w:t xml:space="preserve"> correctivas.</w:t>
      </w:r>
    </w:p>
    <w:p w14:paraId="037A7979" w14:textId="77777777" w:rsidR="006769FF" w:rsidRPr="00BB36A5" w:rsidRDefault="006769FF" w:rsidP="00034F0A">
      <w:pPr>
        <w:pStyle w:val="Default"/>
        <w:jc w:val="both"/>
        <w:rPr>
          <w:rFonts w:asciiTheme="majorHAnsi" w:hAnsiTheme="majorHAnsi" w:cstheme="majorHAnsi"/>
          <w:color w:val="000000" w:themeColor="text1"/>
          <w:lang w:val="es-PR"/>
        </w:rPr>
      </w:pPr>
    </w:p>
    <w:p w14:paraId="628015F5" w14:textId="7938969D" w:rsidR="00190075" w:rsidRPr="00BB36A5" w:rsidRDefault="00190075" w:rsidP="00131772">
      <w:pPr>
        <w:pStyle w:val="Default"/>
        <w:spacing w:after="9"/>
        <w:jc w:val="both"/>
        <w:rPr>
          <w:rFonts w:asciiTheme="majorHAnsi" w:hAnsiTheme="majorHAnsi" w:cstheme="majorHAnsi"/>
          <w:color w:val="000000" w:themeColor="text1"/>
          <w:lang w:val="es-PR"/>
        </w:rPr>
      </w:pPr>
    </w:p>
    <w:p w14:paraId="7CBBA1B0" w14:textId="4D7CE5BB" w:rsidR="00943FC9" w:rsidRPr="00BB36A5" w:rsidRDefault="00943FC9" w:rsidP="00131772">
      <w:pPr>
        <w:pStyle w:val="Default"/>
        <w:spacing w:after="9"/>
        <w:jc w:val="both"/>
        <w:rPr>
          <w:rFonts w:asciiTheme="majorHAnsi" w:hAnsiTheme="majorHAnsi" w:cstheme="majorHAnsi"/>
          <w:color w:val="FF0000"/>
          <w:lang w:val="es-PR"/>
        </w:rPr>
      </w:pPr>
    </w:p>
    <w:p w14:paraId="4B861A37" w14:textId="72C857D0" w:rsidR="00943FC9" w:rsidRPr="00BB36A5" w:rsidRDefault="00AF6940" w:rsidP="004A1115">
      <w:pPr>
        <w:pStyle w:val="Heading2"/>
        <w:rPr>
          <w:rFonts w:cstheme="majorHAnsi"/>
          <w:sz w:val="24"/>
          <w:szCs w:val="24"/>
          <w:lang w:val="es-PR"/>
        </w:rPr>
      </w:pPr>
      <w:r w:rsidRPr="00BB36A5">
        <w:rPr>
          <w:rFonts w:cstheme="majorHAnsi"/>
          <w:sz w:val="24"/>
          <w:szCs w:val="24"/>
          <w:lang w:val="es-PR"/>
        </w:rPr>
        <w:t>Evaluación</w:t>
      </w:r>
      <w:r w:rsidR="00B50C81" w:rsidRPr="00BB36A5">
        <w:rPr>
          <w:rFonts w:cstheme="majorHAnsi"/>
          <w:sz w:val="24"/>
          <w:szCs w:val="24"/>
          <w:lang w:val="es-PR"/>
        </w:rPr>
        <w:t xml:space="preserve"> del Programa</w:t>
      </w:r>
    </w:p>
    <w:p w14:paraId="4EAD45A0" w14:textId="1AEC81D8" w:rsidR="007C798F" w:rsidRPr="00BB36A5" w:rsidRDefault="007C798F" w:rsidP="00131772">
      <w:pPr>
        <w:pStyle w:val="Default"/>
        <w:spacing w:after="9"/>
        <w:jc w:val="both"/>
        <w:rPr>
          <w:rFonts w:asciiTheme="majorHAnsi" w:hAnsiTheme="majorHAnsi" w:cstheme="majorHAnsi"/>
          <w:color w:val="auto"/>
          <w:lang w:val="es-PR"/>
        </w:rPr>
      </w:pPr>
      <w:r w:rsidRPr="00BB36A5">
        <w:rPr>
          <w:rFonts w:asciiTheme="majorHAnsi" w:hAnsiTheme="majorHAnsi" w:cstheme="majorHAnsi"/>
          <w:color w:val="auto"/>
          <w:lang w:val="es-PR"/>
        </w:rPr>
        <w:t>El coordinador del programa llevará a cabo una Evaluación del Programa hasta que se contrate al nuevo oficial de cumplimiento para evaluar que el programa cumple con los objetivos establecido en las regulaciones del USDE.</w:t>
      </w:r>
    </w:p>
    <w:p w14:paraId="50BC1006" w14:textId="0F2B4082" w:rsidR="00A53556" w:rsidRPr="00BB36A5" w:rsidRDefault="00A53556" w:rsidP="00F420FF">
      <w:pPr>
        <w:pStyle w:val="Default"/>
        <w:jc w:val="both"/>
        <w:rPr>
          <w:rFonts w:asciiTheme="majorHAnsi" w:hAnsiTheme="majorHAnsi" w:cstheme="majorHAnsi"/>
          <w:color w:val="000000" w:themeColor="text1"/>
          <w:lang w:val="es-PR"/>
        </w:rPr>
      </w:pPr>
    </w:p>
    <w:p w14:paraId="1A98B108" w14:textId="77777777" w:rsidR="0068205D" w:rsidRPr="00BB36A5" w:rsidRDefault="0068205D" w:rsidP="0068205D">
      <w:pPr>
        <w:rPr>
          <w:rFonts w:asciiTheme="majorHAnsi" w:hAnsiTheme="majorHAnsi" w:cstheme="majorHAnsi"/>
          <w:lang w:val="es-PR"/>
        </w:rPr>
      </w:pPr>
    </w:p>
    <w:p w14:paraId="3FC31EFF" w14:textId="63E90CC5" w:rsidR="00DE0244" w:rsidRPr="00BB36A5" w:rsidRDefault="00B50C81" w:rsidP="00DE0244">
      <w:pPr>
        <w:pStyle w:val="Heading1"/>
        <w:rPr>
          <w:rFonts w:cstheme="majorHAnsi"/>
          <w:sz w:val="24"/>
          <w:szCs w:val="24"/>
          <w:lang w:val="es-PR"/>
        </w:rPr>
      </w:pPr>
      <w:r w:rsidRPr="00BB36A5">
        <w:rPr>
          <w:rFonts w:cstheme="majorHAnsi"/>
          <w:sz w:val="24"/>
          <w:szCs w:val="24"/>
          <w:lang w:val="es-PR"/>
        </w:rPr>
        <w:t>Resumen</w:t>
      </w:r>
      <w:r w:rsidR="00DE0244" w:rsidRPr="00BB36A5">
        <w:rPr>
          <w:rFonts w:cstheme="majorHAnsi"/>
          <w:sz w:val="24"/>
          <w:szCs w:val="24"/>
          <w:lang w:val="es-PR"/>
        </w:rPr>
        <w:t xml:space="preserve"> </w:t>
      </w:r>
      <w:r w:rsidRPr="00BB36A5">
        <w:rPr>
          <w:rFonts w:cstheme="majorHAnsi"/>
          <w:sz w:val="24"/>
          <w:szCs w:val="24"/>
          <w:lang w:val="es-PR"/>
        </w:rPr>
        <w:t>de</w:t>
      </w:r>
      <w:r w:rsidR="00DE0244" w:rsidRPr="00BB36A5">
        <w:rPr>
          <w:rFonts w:cstheme="majorHAnsi"/>
          <w:sz w:val="24"/>
          <w:szCs w:val="24"/>
          <w:lang w:val="es-PR"/>
        </w:rPr>
        <w:t xml:space="preserve"> </w:t>
      </w:r>
      <w:r w:rsidRPr="00BB36A5">
        <w:rPr>
          <w:rFonts w:cstheme="majorHAnsi"/>
          <w:sz w:val="24"/>
          <w:szCs w:val="24"/>
          <w:lang w:val="es-PR"/>
        </w:rPr>
        <w:t>Controles Internos</w:t>
      </w:r>
    </w:p>
    <w:p w14:paraId="48ABC9CD" w14:textId="0ADDCB30" w:rsidR="00E1739A" w:rsidRPr="00BB36A5" w:rsidRDefault="00780C62" w:rsidP="00342E9E">
      <w:pPr>
        <w:rPr>
          <w:rFonts w:asciiTheme="majorHAnsi" w:hAnsiTheme="majorHAnsi" w:cstheme="majorHAnsi"/>
          <w:lang w:val="es-PR"/>
        </w:rPr>
      </w:pPr>
      <w:r w:rsidRPr="00BB36A5">
        <w:rPr>
          <w:rFonts w:asciiTheme="majorHAnsi" w:hAnsiTheme="majorHAnsi" w:cstheme="majorHAnsi"/>
          <w:lang w:val="es-PR"/>
        </w:rPr>
        <w:t xml:space="preserve">La siguiente lista resume los controles internos establecidos por la oficina del </w:t>
      </w:r>
      <w:r w:rsidR="00AF6940" w:rsidRPr="00BB36A5">
        <w:rPr>
          <w:rFonts w:asciiTheme="majorHAnsi" w:hAnsiTheme="majorHAnsi" w:cstheme="majorHAnsi"/>
          <w:lang w:val="es-PR"/>
        </w:rPr>
        <w:t>p</w:t>
      </w:r>
      <w:r w:rsidRPr="00BB36A5">
        <w:rPr>
          <w:rFonts w:asciiTheme="majorHAnsi" w:hAnsiTheme="majorHAnsi" w:cstheme="majorHAnsi"/>
          <w:lang w:val="es-PR"/>
        </w:rPr>
        <w:t xml:space="preserve">rograma </w:t>
      </w:r>
      <w:proofErr w:type="spellStart"/>
      <w:r w:rsidRPr="00BB36A5">
        <w:rPr>
          <w:rFonts w:asciiTheme="majorHAnsi" w:hAnsiTheme="majorHAnsi" w:cstheme="majorHAnsi"/>
          <w:i/>
          <w:iCs/>
          <w:lang w:val="es-PR"/>
        </w:rPr>
        <w:t>Restart</w:t>
      </w:r>
      <w:proofErr w:type="spellEnd"/>
      <w:r w:rsidRPr="00BB36A5">
        <w:rPr>
          <w:rFonts w:asciiTheme="majorHAnsi" w:hAnsiTheme="majorHAnsi" w:cstheme="majorHAnsi"/>
          <w:i/>
          <w:iCs/>
          <w:lang w:val="es-PR"/>
        </w:rPr>
        <w:t xml:space="preserve"> </w:t>
      </w:r>
      <w:r w:rsidRPr="00BB36A5">
        <w:rPr>
          <w:rFonts w:asciiTheme="majorHAnsi" w:hAnsiTheme="majorHAnsi" w:cstheme="majorHAnsi"/>
          <w:lang w:val="es-PR"/>
        </w:rPr>
        <w:t>del DEPR:</w:t>
      </w:r>
    </w:p>
    <w:p w14:paraId="5ACF56AC" w14:textId="5F3CF9E5" w:rsidR="006E41E3" w:rsidRPr="00BB36A5" w:rsidRDefault="006E41E3" w:rsidP="006E41E3">
      <w:pPr>
        <w:rPr>
          <w:rFonts w:asciiTheme="majorHAnsi" w:hAnsiTheme="majorHAnsi" w:cstheme="majorHAnsi"/>
          <w:lang w:val="es-PR"/>
        </w:rPr>
      </w:pPr>
    </w:p>
    <w:p w14:paraId="3DDA9BE3" w14:textId="1DFEBC0C" w:rsidR="006E41E3" w:rsidRPr="00BB36A5" w:rsidRDefault="00EE6254" w:rsidP="00342E9E">
      <w:pPr>
        <w:pStyle w:val="ListParagraph"/>
        <w:numPr>
          <w:ilvl w:val="0"/>
          <w:numId w:val="20"/>
        </w:numPr>
        <w:jc w:val="both"/>
        <w:rPr>
          <w:rFonts w:asciiTheme="majorHAnsi" w:hAnsiTheme="majorHAnsi" w:cstheme="majorHAnsi"/>
          <w:lang w:val="es-PR"/>
        </w:rPr>
      </w:pPr>
      <w:r w:rsidRPr="00BB36A5">
        <w:rPr>
          <w:rFonts w:asciiTheme="majorHAnsi" w:eastAsia="Times New Roman" w:hAnsiTheme="majorHAnsi" w:cstheme="majorHAnsi"/>
          <w:lang w:val="es-PR"/>
        </w:rPr>
        <w:t>Segregar responsabilidades para que un empleado no tenga control total ni lleve a cabo todas las tareas fiscales (consultar el organigrama y la Guía de Procedimientos Fiscales). Cada puesto tiene responsabilidades específicas para evitar la duplicación de esfuerzos y evitar conflicto de interés.</w:t>
      </w:r>
    </w:p>
    <w:p w14:paraId="069B2AC3" w14:textId="1A99E134" w:rsidR="006E41E3" w:rsidRPr="00BB36A5" w:rsidRDefault="00EE6254"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Segregación de las responsabilidades dentro del Sistema Financiero del DEPR (SIFDE). Habrá varios pasos de aprobación para cada transacción fiscal (ejemplos: la persona responsable de realizar las requisiciones en SIFDE, la persona encargada de aprobar las requisiciones en SIFDE, la persona encargada de recibir las facturas y procesar los pagos, etc.)</w:t>
      </w:r>
    </w:p>
    <w:p w14:paraId="09C41F69" w14:textId="51DF2973" w:rsidR="006E41E3" w:rsidRPr="00BB36A5" w:rsidRDefault="00EE6254" w:rsidP="00342E9E">
      <w:pPr>
        <w:pStyle w:val="ListParagraph"/>
        <w:numPr>
          <w:ilvl w:val="0"/>
          <w:numId w:val="20"/>
        </w:numPr>
        <w:jc w:val="both"/>
        <w:rPr>
          <w:rFonts w:asciiTheme="majorHAnsi" w:eastAsia="Calibri" w:hAnsiTheme="majorHAnsi" w:cstheme="majorHAnsi"/>
        </w:rPr>
      </w:pPr>
      <w:r w:rsidRPr="00BB36A5">
        <w:rPr>
          <w:rFonts w:asciiTheme="majorHAnsi" w:hAnsiTheme="majorHAnsi" w:cstheme="majorHAnsi"/>
          <w:lang w:val="es-PR"/>
        </w:rPr>
        <w:t>Revisiones</w:t>
      </w:r>
      <w:r w:rsidRPr="00BB36A5">
        <w:rPr>
          <w:rFonts w:asciiTheme="majorHAnsi" w:hAnsiTheme="majorHAnsi" w:cstheme="majorHAnsi"/>
        </w:rPr>
        <w:t xml:space="preserve"> de</w:t>
      </w:r>
      <w:r w:rsidRPr="00BB36A5">
        <w:rPr>
          <w:rFonts w:asciiTheme="majorHAnsi" w:hAnsiTheme="majorHAnsi" w:cstheme="majorHAnsi"/>
          <w:lang w:val="es-PR"/>
        </w:rPr>
        <w:t xml:space="preserve"> desempeño</w:t>
      </w:r>
    </w:p>
    <w:p w14:paraId="43F5A4D5" w14:textId="0608B001" w:rsidR="006E41E3" w:rsidRPr="00BB36A5" w:rsidRDefault="009D48B5"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El DEPR cuenta con un contratista externo de monitoria que provee asistencia técnica, apoya en la implementación de</w:t>
      </w:r>
      <w:r w:rsidR="00C64C0C" w:rsidRPr="00BB36A5">
        <w:rPr>
          <w:rFonts w:asciiTheme="majorHAnsi" w:eastAsia="Times New Roman" w:hAnsiTheme="majorHAnsi" w:cstheme="majorHAnsi"/>
          <w:lang w:val="es-PR"/>
        </w:rPr>
        <w:t xml:space="preserve"> las</w:t>
      </w:r>
      <w:r w:rsidRPr="00BB36A5">
        <w:rPr>
          <w:rFonts w:asciiTheme="majorHAnsi" w:eastAsia="Times New Roman" w:hAnsiTheme="majorHAnsi" w:cstheme="majorHAnsi"/>
          <w:lang w:val="es-PR"/>
        </w:rPr>
        <w:t xml:space="preserve"> iniciativas de </w:t>
      </w:r>
      <w:proofErr w:type="spellStart"/>
      <w:r w:rsidR="00C64C0C" w:rsidRPr="00BB36A5">
        <w:rPr>
          <w:rFonts w:asciiTheme="majorHAnsi" w:eastAsia="Times New Roman" w:hAnsiTheme="majorHAnsi" w:cstheme="majorHAnsi"/>
          <w:i/>
          <w:iCs/>
          <w:lang w:val="es-PR"/>
        </w:rPr>
        <w:t>Restart</w:t>
      </w:r>
      <w:proofErr w:type="spellEnd"/>
      <w:r w:rsidRPr="00BB36A5">
        <w:rPr>
          <w:rFonts w:asciiTheme="majorHAnsi" w:eastAsia="Times New Roman" w:hAnsiTheme="majorHAnsi" w:cstheme="majorHAnsi"/>
          <w:lang w:val="es-PR"/>
        </w:rPr>
        <w:t xml:space="preserve"> y supervisa </w:t>
      </w:r>
      <w:r w:rsidR="00C64C0C" w:rsidRPr="00BB36A5">
        <w:rPr>
          <w:rFonts w:asciiTheme="majorHAnsi" w:eastAsia="Times New Roman" w:hAnsiTheme="majorHAnsi" w:cstheme="majorHAnsi"/>
          <w:lang w:val="es-PR"/>
        </w:rPr>
        <w:t>el</w:t>
      </w:r>
      <w:r w:rsidRPr="00BB36A5">
        <w:rPr>
          <w:rFonts w:asciiTheme="majorHAnsi" w:eastAsia="Times New Roman" w:hAnsiTheme="majorHAnsi" w:cstheme="majorHAnsi"/>
          <w:lang w:val="es-PR"/>
        </w:rPr>
        <w:t xml:space="preserve"> enfoque de </w:t>
      </w:r>
      <w:r w:rsidR="00C64C0C" w:rsidRPr="00BB36A5">
        <w:rPr>
          <w:rFonts w:asciiTheme="majorHAnsi" w:eastAsia="Times New Roman" w:hAnsiTheme="majorHAnsi" w:cstheme="majorHAnsi"/>
          <w:lang w:val="es-PR"/>
        </w:rPr>
        <w:t xml:space="preserve">las </w:t>
      </w:r>
      <w:r w:rsidRPr="00BB36A5">
        <w:rPr>
          <w:rFonts w:asciiTheme="majorHAnsi" w:eastAsia="Times New Roman" w:hAnsiTheme="majorHAnsi" w:cstheme="majorHAnsi"/>
          <w:lang w:val="es-PR"/>
        </w:rPr>
        <w:t>monitor</w:t>
      </w:r>
      <w:r w:rsidR="00C64C0C" w:rsidRPr="00BB36A5">
        <w:rPr>
          <w:rFonts w:asciiTheme="majorHAnsi" w:eastAsia="Times New Roman" w:hAnsiTheme="majorHAnsi" w:cstheme="majorHAnsi"/>
          <w:lang w:val="es-PR"/>
        </w:rPr>
        <w:t>ias, el cual</w:t>
      </w:r>
      <w:r w:rsidRPr="00BB36A5">
        <w:rPr>
          <w:rFonts w:asciiTheme="majorHAnsi" w:eastAsia="Times New Roman" w:hAnsiTheme="majorHAnsi" w:cstheme="majorHAnsi"/>
          <w:lang w:val="es-PR"/>
        </w:rPr>
        <w:t xml:space="preserve"> evalúa el cumplimiento del DE</w:t>
      </w:r>
      <w:r w:rsidR="00C64C0C" w:rsidRPr="00BB36A5">
        <w:rPr>
          <w:rFonts w:asciiTheme="majorHAnsi" w:eastAsia="Times New Roman" w:hAnsiTheme="majorHAnsi" w:cstheme="majorHAnsi"/>
          <w:lang w:val="es-PR"/>
        </w:rPr>
        <w:t>PR</w:t>
      </w:r>
      <w:r w:rsidRPr="00BB36A5">
        <w:rPr>
          <w:rFonts w:asciiTheme="majorHAnsi" w:eastAsia="Times New Roman" w:hAnsiTheme="majorHAnsi" w:cstheme="majorHAnsi"/>
          <w:lang w:val="es-PR"/>
        </w:rPr>
        <w:t xml:space="preserve"> con los términos de</w:t>
      </w:r>
      <w:r w:rsidR="00C64C0C" w:rsidRPr="00BB36A5">
        <w:rPr>
          <w:rFonts w:asciiTheme="majorHAnsi" w:eastAsia="Times New Roman" w:hAnsiTheme="majorHAnsi" w:cstheme="majorHAnsi"/>
          <w:lang w:val="es-PR"/>
        </w:rPr>
        <w:t>l manejo</w:t>
      </w:r>
      <w:r w:rsidRPr="00BB36A5">
        <w:rPr>
          <w:rFonts w:asciiTheme="majorHAnsi" w:eastAsia="Times New Roman" w:hAnsiTheme="majorHAnsi" w:cstheme="majorHAnsi"/>
          <w:lang w:val="es-PR"/>
        </w:rPr>
        <w:t xml:space="preserve"> de </w:t>
      </w:r>
      <w:r w:rsidR="00C64C0C" w:rsidRPr="00BB36A5">
        <w:rPr>
          <w:rFonts w:asciiTheme="majorHAnsi" w:eastAsia="Times New Roman" w:hAnsiTheme="majorHAnsi" w:cstheme="majorHAnsi"/>
          <w:lang w:val="es-PR"/>
        </w:rPr>
        <w:t xml:space="preserve">los fondos o </w:t>
      </w:r>
      <w:r w:rsidRPr="00BB36A5">
        <w:rPr>
          <w:rFonts w:asciiTheme="majorHAnsi" w:eastAsia="Times New Roman" w:hAnsiTheme="majorHAnsi" w:cstheme="majorHAnsi"/>
          <w:lang w:val="es-PR"/>
        </w:rPr>
        <w:t>subvenciones.</w:t>
      </w:r>
    </w:p>
    <w:p w14:paraId="680D666B" w14:textId="6923802A" w:rsidR="002E5690" w:rsidRPr="00BB36A5" w:rsidRDefault="002E5690" w:rsidP="002E5690">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 xml:space="preserve">Documentar y mantener una documentación clara de todos los procesos y transacciones necesarias (registros de las iniciativas, documentación en el Sistema Financiero del DEPR (SIFDE), </w:t>
      </w:r>
      <w:r w:rsidRPr="00BB36A5">
        <w:rPr>
          <w:rFonts w:asciiTheme="majorHAnsi" w:eastAsia="Times New Roman" w:hAnsiTheme="majorHAnsi" w:cstheme="majorHAnsi"/>
          <w:lang w:val="es-PR"/>
        </w:rPr>
        <w:lastRenderedPageBreak/>
        <w:t xml:space="preserve">registros físicos, documentos en la nube) que se prepararán con toda la documentación de apoyo y el registro de todas las transacciones para el proceso de monitoreo o auditoría. </w:t>
      </w:r>
    </w:p>
    <w:p w14:paraId="33A212D5" w14:textId="35BCF93A" w:rsidR="006E41E3" w:rsidRPr="00BB36A5" w:rsidRDefault="002E5690" w:rsidP="002E5690">
      <w:pPr>
        <w:pStyle w:val="ListParagraph"/>
        <w:numPr>
          <w:ilvl w:val="0"/>
          <w:numId w:val="24"/>
        </w:numPr>
        <w:rPr>
          <w:rFonts w:asciiTheme="majorHAnsi" w:eastAsia="Times New Roman" w:hAnsiTheme="majorHAnsi" w:cstheme="majorHAnsi"/>
          <w:lang w:val="es-PR"/>
        </w:rPr>
      </w:pPr>
      <w:r w:rsidRPr="00BB36A5">
        <w:rPr>
          <w:rFonts w:asciiTheme="majorHAnsi" w:eastAsia="Times New Roman" w:hAnsiTheme="majorHAnsi" w:cstheme="majorHAnsi"/>
          <w:lang w:val="es-PR"/>
        </w:rPr>
        <w:t xml:space="preserve">El Programa de </w:t>
      </w:r>
      <w:proofErr w:type="spellStart"/>
      <w:r w:rsidRPr="00BB36A5">
        <w:rPr>
          <w:rFonts w:asciiTheme="majorHAnsi" w:eastAsia="Times New Roman" w:hAnsiTheme="majorHAnsi" w:cstheme="majorHAnsi"/>
          <w:i/>
          <w:iCs/>
          <w:lang w:val="es-PR"/>
        </w:rPr>
        <w:t>Restart</w:t>
      </w:r>
      <w:proofErr w:type="spellEnd"/>
      <w:r w:rsidRPr="00BB36A5">
        <w:rPr>
          <w:rFonts w:asciiTheme="majorHAnsi" w:eastAsia="Times New Roman" w:hAnsiTheme="majorHAnsi" w:cstheme="majorHAnsi"/>
          <w:lang w:val="es-PR"/>
        </w:rPr>
        <w:t xml:space="preserve"> ha creado un espacio/archivo en la nube oficial del DEPR donde el personal del programa está archivando y subiendo todos los formularios y documentos administrativos necesarios para todas las iniciativas.</w:t>
      </w:r>
    </w:p>
    <w:p w14:paraId="6BB94B65" w14:textId="24A38779" w:rsidR="006E41E3" w:rsidRPr="00BB36A5" w:rsidRDefault="00267760"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 xml:space="preserve">El personal del Programa de </w:t>
      </w:r>
      <w:proofErr w:type="spellStart"/>
      <w:r w:rsidRPr="00BB36A5">
        <w:rPr>
          <w:rFonts w:asciiTheme="majorHAnsi" w:eastAsia="Times New Roman" w:hAnsiTheme="majorHAnsi" w:cstheme="majorHAnsi"/>
          <w:lang w:val="es-PR"/>
        </w:rPr>
        <w:t>Restart</w:t>
      </w:r>
      <w:proofErr w:type="spellEnd"/>
      <w:r w:rsidRPr="00BB36A5">
        <w:rPr>
          <w:rFonts w:asciiTheme="majorHAnsi" w:eastAsia="Times New Roman" w:hAnsiTheme="majorHAnsi" w:cstheme="majorHAnsi"/>
          <w:lang w:val="es-PR"/>
        </w:rPr>
        <w:t xml:space="preserve"> proveerá asistencia técnica continua a los líderes de las iniciativas y a las escuelas privadas. El personal del Programa </w:t>
      </w:r>
      <w:proofErr w:type="spellStart"/>
      <w:r w:rsidRPr="00BB36A5">
        <w:rPr>
          <w:rFonts w:asciiTheme="majorHAnsi" w:eastAsia="Times New Roman" w:hAnsiTheme="majorHAnsi" w:cstheme="majorHAnsi"/>
          <w:i/>
          <w:iCs/>
          <w:lang w:val="es-PR"/>
        </w:rPr>
        <w:t>Restart</w:t>
      </w:r>
      <w:proofErr w:type="spellEnd"/>
      <w:r w:rsidRPr="00BB36A5">
        <w:rPr>
          <w:rFonts w:asciiTheme="majorHAnsi" w:eastAsia="Times New Roman" w:hAnsiTheme="majorHAnsi" w:cstheme="majorHAnsi"/>
          <w:i/>
          <w:iCs/>
          <w:lang w:val="es-PR"/>
        </w:rPr>
        <w:t xml:space="preserve"> </w:t>
      </w:r>
      <w:r w:rsidRPr="00BB36A5">
        <w:rPr>
          <w:rFonts w:asciiTheme="majorHAnsi" w:eastAsia="Times New Roman" w:hAnsiTheme="majorHAnsi" w:cstheme="majorHAnsi"/>
          <w:lang w:val="es-PR"/>
        </w:rPr>
        <w:t>realiza seguimiento continuo de las diferentes áreas del DEPR para asegurarse de que las iniciativas se están implementando correctamente.</w:t>
      </w:r>
    </w:p>
    <w:p w14:paraId="3E8E4F9D" w14:textId="52C1E15F" w:rsidR="006E41E3" w:rsidRPr="00BB36A5" w:rsidRDefault="00267760"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 xml:space="preserve">El DEPR tiene manuales y guías para todos los programas federales, incluyendo el programa de </w:t>
      </w:r>
      <w:proofErr w:type="spellStart"/>
      <w:r w:rsidRPr="00BB36A5">
        <w:rPr>
          <w:rFonts w:asciiTheme="majorHAnsi" w:eastAsia="Times New Roman" w:hAnsiTheme="majorHAnsi" w:cstheme="majorHAnsi"/>
          <w:i/>
          <w:iCs/>
          <w:lang w:val="es-PR"/>
        </w:rPr>
        <w:t>Restart</w:t>
      </w:r>
      <w:proofErr w:type="spellEnd"/>
      <w:r w:rsidRPr="00BB36A5">
        <w:rPr>
          <w:rFonts w:asciiTheme="majorHAnsi" w:eastAsia="Times New Roman" w:hAnsiTheme="majorHAnsi" w:cstheme="majorHAnsi"/>
          <w:i/>
          <w:iCs/>
          <w:lang w:val="es-PR"/>
        </w:rPr>
        <w:t>.</w:t>
      </w:r>
      <w:r w:rsidRPr="00BB36A5">
        <w:rPr>
          <w:rFonts w:asciiTheme="majorHAnsi" w:eastAsia="Times New Roman" w:hAnsiTheme="majorHAnsi" w:cstheme="majorHAnsi"/>
          <w:lang w:val="es-PR"/>
        </w:rPr>
        <w:t xml:space="preserve"> El Programa </w:t>
      </w:r>
      <w:proofErr w:type="spellStart"/>
      <w:r w:rsidRPr="00BB36A5">
        <w:rPr>
          <w:rFonts w:asciiTheme="majorHAnsi" w:eastAsia="Times New Roman" w:hAnsiTheme="majorHAnsi" w:cstheme="majorHAnsi"/>
          <w:i/>
          <w:iCs/>
          <w:lang w:val="es-PR"/>
        </w:rPr>
        <w:t>Restart</w:t>
      </w:r>
      <w:proofErr w:type="spellEnd"/>
      <w:r w:rsidRPr="00BB36A5">
        <w:rPr>
          <w:rFonts w:asciiTheme="majorHAnsi" w:eastAsia="Times New Roman" w:hAnsiTheme="majorHAnsi" w:cstheme="majorHAnsi"/>
          <w:lang w:val="es-PR"/>
        </w:rPr>
        <w:t xml:space="preserve"> está bien </w:t>
      </w:r>
      <w:r w:rsidR="001763EA" w:rsidRPr="00BB36A5">
        <w:rPr>
          <w:rFonts w:asciiTheme="majorHAnsi" w:eastAsia="Times New Roman" w:hAnsiTheme="majorHAnsi" w:cstheme="majorHAnsi"/>
          <w:lang w:val="es-PR"/>
        </w:rPr>
        <w:t>adiestrado</w:t>
      </w:r>
      <w:r w:rsidRPr="00BB36A5">
        <w:rPr>
          <w:rFonts w:asciiTheme="majorHAnsi" w:eastAsia="Times New Roman" w:hAnsiTheme="majorHAnsi" w:cstheme="majorHAnsi"/>
          <w:lang w:val="es-PR"/>
        </w:rPr>
        <w:t xml:space="preserve"> en estas regulaciones y </w:t>
      </w:r>
      <w:r w:rsidR="001763EA" w:rsidRPr="00BB36A5">
        <w:rPr>
          <w:rFonts w:asciiTheme="majorHAnsi" w:eastAsia="Times New Roman" w:hAnsiTheme="majorHAnsi" w:cstheme="majorHAnsi"/>
          <w:lang w:val="es-PR"/>
        </w:rPr>
        <w:t>guías</w:t>
      </w:r>
      <w:r w:rsidRPr="00BB36A5">
        <w:rPr>
          <w:rFonts w:asciiTheme="majorHAnsi" w:eastAsia="Times New Roman" w:hAnsiTheme="majorHAnsi" w:cstheme="majorHAnsi"/>
          <w:lang w:val="es-PR"/>
        </w:rPr>
        <w:t xml:space="preserve"> con el fin de cumplir con todos los requisitos federales y </w:t>
      </w:r>
      <w:r w:rsidR="001763EA" w:rsidRPr="00BB36A5">
        <w:rPr>
          <w:rFonts w:asciiTheme="majorHAnsi" w:eastAsia="Times New Roman" w:hAnsiTheme="majorHAnsi" w:cstheme="majorHAnsi"/>
          <w:lang w:val="es-PR"/>
        </w:rPr>
        <w:t>estatales</w:t>
      </w:r>
      <w:r w:rsidRPr="00BB36A5">
        <w:rPr>
          <w:rFonts w:asciiTheme="majorHAnsi" w:eastAsia="Times New Roman" w:hAnsiTheme="majorHAnsi" w:cstheme="majorHAnsi"/>
          <w:lang w:val="es-PR"/>
        </w:rPr>
        <w:t xml:space="preserve"> para </w:t>
      </w:r>
      <w:r w:rsidR="001763EA" w:rsidRPr="00BB36A5">
        <w:rPr>
          <w:rFonts w:asciiTheme="majorHAnsi" w:eastAsia="Times New Roman" w:hAnsiTheme="majorHAnsi" w:cstheme="majorHAnsi"/>
          <w:lang w:val="es-PR"/>
        </w:rPr>
        <w:t>dicho programa</w:t>
      </w:r>
      <w:r w:rsidRPr="00BB36A5">
        <w:rPr>
          <w:rFonts w:asciiTheme="majorHAnsi" w:eastAsia="Times New Roman" w:hAnsiTheme="majorHAnsi" w:cstheme="majorHAnsi"/>
          <w:lang w:val="es-PR"/>
        </w:rPr>
        <w:t>.</w:t>
      </w:r>
    </w:p>
    <w:p w14:paraId="7490FF7E" w14:textId="126000F4" w:rsidR="006E41E3" w:rsidRPr="00BB36A5" w:rsidRDefault="009C1BB2"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Establecer líneas de tiempo y planificación de proyectos</w:t>
      </w:r>
      <w:r w:rsidR="006E41E3" w:rsidRPr="00BB36A5">
        <w:rPr>
          <w:rFonts w:asciiTheme="majorHAnsi" w:eastAsia="Times New Roman" w:hAnsiTheme="majorHAnsi" w:cstheme="majorHAnsi"/>
          <w:lang w:val="es-PR"/>
        </w:rPr>
        <w:t xml:space="preserve"> </w:t>
      </w:r>
      <w:r w:rsidRPr="00BB36A5">
        <w:rPr>
          <w:rFonts w:asciiTheme="majorHAnsi" w:eastAsia="Times New Roman" w:hAnsiTheme="majorHAnsi" w:cstheme="majorHAnsi"/>
          <w:lang w:val="es-PR"/>
        </w:rPr>
        <w:t>en toda la agencia.</w:t>
      </w:r>
      <w:r w:rsidR="006E41E3" w:rsidRPr="00BB36A5">
        <w:rPr>
          <w:rFonts w:asciiTheme="majorHAnsi" w:eastAsia="Times New Roman" w:hAnsiTheme="majorHAnsi" w:cstheme="majorHAnsi"/>
          <w:lang w:val="es-PR"/>
        </w:rPr>
        <w:t xml:space="preserve">  </w:t>
      </w:r>
    </w:p>
    <w:p w14:paraId="79A66D38" w14:textId="31B112C5" w:rsidR="006E41E3" w:rsidRPr="00BB36A5" w:rsidRDefault="009C1BB2" w:rsidP="00342E9E">
      <w:pPr>
        <w:pStyle w:val="ListParagraph"/>
        <w:numPr>
          <w:ilvl w:val="0"/>
          <w:numId w:val="20"/>
        </w:numPr>
        <w:jc w:val="both"/>
        <w:rPr>
          <w:rFonts w:asciiTheme="majorHAnsi" w:eastAsia="Calibri" w:hAnsiTheme="majorHAnsi" w:cstheme="majorHAnsi"/>
          <w:lang w:val="es-PR"/>
        </w:rPr>
      </w:pPr>
      <w:r w:rsidRPr="00BB36A5">
        <w:rPr>
          <w:rFonts w:asciiTheme="majorHAnsi" w:hAnsiTheme="majorHAnsi" w:cstheme="majorHAnsi"/>
          <w:lang w:val="es-PR"/>
        </w:rPr>
        <w:t>Asegurar que existe una seguridad adecuada para los sistemas de información y registros como la necesidad de contraseñas y autorizaciones restringidas (contraseñas, protocolos de seguridad para los sistemas de información, registros físicos en área segura).</w:t>
      </w:r>
    </w:p>
    <w:p w14:paraId="00B905A4" w14:textId="33506031" w:rsidR="006E41E3" w:rsidRPr="00BB36A5" w:rsidRDefault="009C1BB2"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Informes continuos a los oficiales del programa con datos relevantes, según sea requerido.</w:t>
      </w:r>
    </w:p>
    <w:p w14:paraId="551A27A3" w14:textId="24836EF7" w:rsidR="006E41E3" w:rsidRPr="00BB36A5" w:rsidRDefault="009C1BB2"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Proveer una dirección de correo electrónico disponible para que el público denuncie cualquier actividad sospechosa, fraude, despilfarro o abuso de fondos federales.</w:t>
      </w:r>
    </w:p>
    <w:p w14:paraId="676F87DB" w14:textId="16195D45" w:rsidR="006E41E3" w:rsidRPr="00BB36A5" w:rsidRDefault="009C1BB2" w:rsidP="00342E9E">
      <w:pPr>
        <w:pStyle w:val="ListParagraph"/>
        <w:numPr>
          <w:ilvl w:val="0"/>
          <w:numId w:val="20"/>
        </w:numPr>
        <w:spacing w:line="276" w:lineRule="auto"/>
        <w:jc w:val="both"/>
        <w:rPr>
          <w:rFonts w:asciiTheme="majorHAnsi" w:eastAsia="Times New Roman" w:hAnsiTheme="majorHAnsi" w:cstheme="majorHAnsi"/>
          <w:lang w:val="es-PR"/>
        </w:rPr>
      </w:pPr>
      <w:r w:rsidRPr="00BB36A5">
        <w:rPr>
          <w:rFonts w:asciiTheme="majorHAnsi" w:eastAsia="Times New Roman" w:hAnsiTheme="majorHAnsi" w:cstheme="majorHAnsi"/>
          <w:lang w:val="es-PR"/>
        </w:rPr>
        <w:t xml:space="preserve">Reuniones continuas con los líderes de las iniciativas y escuelas privadas. </w:t>
      </w:r>
    </w:p>
    <w:p w14:paraId="09566784" w14:textId="56C28052" w:rsidR="00DE0244" w:rsidRPr="00BB36A5" w:rsidRDefault="009C1BB2" w:rsidP="00F420FF">
      <w:pPr>
        <w:pStyle w:val="ListParagraph"/>
        <w:numPr>
          <w:ilvl w:val="0"/>
          <w:numId w:val="20"/>
        </w:numPr>
        <w:jc w:val="both"/>
        <w:rPr>
          <w:rFonts w:asciiTheme="majorHAnsi" w:eastAsia="Calibri" w:hAnsiTheme="majorHAnsi" w:cstheme="majorHAnsi"/>
          <w:lang w:val="es-PR"/>
        </w:rPr>
      </w:pPr>
      <w:r w:rsidRPr="00BB36A5">
        <w:rPr>
          <w:rFonts w:asciiTheme="majorHAnsi" w:hAnsiTheme="majorHAnsi" w:cstheme="majorHAnsi"/>
          <w:lang w:val="es-PR"/>
        </w:rPr>
        <w:t>Debido a los continuos cambios en la tecnología de información, la supervisión de los sistemas de información de una organización debe ser actualizado continuamente para seguir siendo eficaz (contraseñas, protocolos de seguridad para sistemas de información)</w:t>
      </w:r>
    </w:p>
    <w:p w14:paraId="1680A704" w14:textId="4B111E88" w:rsidR="005D4AA9" w:rsidRPr="00BB36A5" w:rsidRDefault="00BA4D0E" w:rsidP="00FE4383">
      <w:pPr>
        <w:pStyle w:val="Heading1"/>
        <w:rPr>
          <w:rFonts w:cstheme="majorHAnsi"/>
          <w:sz w:val="24"/>
          <w:szCs w:val="24"/>
          <w:lang w:val="es-PR"/>
        </w:rPr>
      </w:pPr>
      <w:r w:rsidRPr="00BB36A5">
        <w:rPr>
          <w:rFonts w:cstheme="majorHAnsi"/>
          <w:sz w:val="24"/>
          <w:szCs w:val="24"/>
          <w:lang w:val="es-PR"/>
        </w:rPr>
        <w:t>Conclusión</w:t>
      </w:r>
    </w:p>
    <w:p w14:paraId="4A47DAD4" w14:textId="731081D2" w:rsidR="00D22D5E" w:rsidRPr="00BB36A5" w:rsidRDefault="00D22D5E" w:rsidP="00FE4383">
      <w:pPr>
        <w:shd w:val="clear" w:color="auto" w:fill="FFFFFF" w:themeFill="background1"/>
        <w:jc w:val="both"/>
        <w:rPr>
          <w:rFonts w:asciiTheme="majorHAnsi" w:hAnsiTheme="majorHAnsi" w:cstheme="majorHAnsi"/>
          <w:color w:val="000000"/>
          <w:shd w:val="clear" w:color="auto" w:fill="FFFFFF"/>
          <w:lang w:val="es-PR"/>
        </w:rPr>
      </w:pPr>
      <w:r w:rsidRPr="00BB36A5">
        <w:rPr>
          <w:rFonts w:asciiTheme="majorHAnsi" w:hAnsiTheme="majorHAnsi" w:cstheme="majorHAnsi"/>
          <w:color w:val="000000"/>
          <w:shd w:val="clear" w:color="auto" w:fill="FFFFFF"/>
          <w:lang w:val="es-PR"/>
        </w:rPr>
        <w:t xml:space="preserve">Un control interno es cualquier política, procedimiento, práctica o mecanismo diseñado para proporcionar una garantía razonable de que se alcanzarán los objetivos de la organización. Esto incluye controles diseñados para </w:t>
      </w:r>
      <w:r w:rsidR="00C8292C" w:rsidRPr="00BB36A5">
        <w:rPr>
          <w:rFonts w:asciiTheme="majorHAnsi" w:hAnsiTheme="majorHAnsi" w:cstheme="majorHAnsi"/>
          <w:color w:val="000000"/>
          <w:shd w:val="clear" w:color="auto" w:fill="FFFFFF"/>
          <w:lang w:val="es-PR"/>
        </w:rPr>
        <w:t>proteger</w:t>
      </w:r>
      <w:r w:rsidRPr="00BB36A5">
        <w:rPr>
          <w:rFonts w:asciiTheme="majorHAnsi" w:hAnsiTheme="majorHAnsi" w:cstheme="majorHAnsi"/>
          <w:color w:val="000000"/>
          <w:shd w:val="clear" w:color="auto" w:fill="FFFFFF"/>
          <w:lang w:val="es-PR"/>
        </w:rPr>
        <w:t xml:space="preserve"> los activos, garantizar la </w:t>
      </w:r>
      <w:r w:rsidR="00C8292C" w:rsidRPr="00BB36A5">
        <w:rPr>
          <w:rFonts w:asciiTheme="majorHAnsi" w:hAnsiTheme="majorHAnsi" w:cstheme="majorHAnsi"/>
          <w:color w:val="000000"/>
          <w:shd w:val="clear" w:color="auto" w:fill="FFFFFF"/>
          <w:lang w:val="es-PR"/>
        </w:rPr>
        <w:t>precisión</w:t>
      </w:r>
      <w:r w:rsidRPr="00BB36A5">
        <w:rPr>
          <w:rFonts w:asciiTheme="majorHAnsi" w:hAnsiTheme="majorHAnsi" w:cstheme="majorHAnsi"/>
          <w:color w:val="000000"/>
          <w:shd w:val="clear" w:color="auto" w:fill="FFFFFF"/>
          <w:lang w:val="es-PR"/>
        </w:rPr>
        <w:t xml:space="preserve">, exactitud y fiabilidad de los </w:t>
      </w:r>
      <w:r w:rsidR="00C8292C" w:rsidRPr="00BB36A5">
        <w:rPr>
          <w:rFonts w:asciiTheme="majorHAnsi" w:hAnsiTheme="majorHAnsi" w:cstheme="majorHAnsi"/>
          <w:color w:val="000000"/>
          <w:shd w:val="clear" w:color="auto" w:fill="FFFFFF"/>
          <w:lang w:val="es-PR"/>
        </w:rPr>
        <w:t>reporte</w:t>
      </w:r>
      <w:r w:rsidRPr="00BB36A5">
        <w:rPr>
          <w:rFonts w:asciiTheme="majorHAnsi" w:hAnsiTheme="majorHAnsi" w:cstheme="majorHAnsi"/>
          <w:color w:val="000000"/>
          <w:shd w:val="clear" w:color="auto" w:fill="FFFFFF"/>
          <w:lang w:val="es-PR"/>
        </w:rPr>
        <w:t xml:space="preserve">s financieros y </w:t>
      </w:r>
      <w:r w:rsidR="00C8292C" w:rsidRPr="00BB36A5">
        <w:rPr>
          <w:rFonts w:asciiTheme="majorHAnsi" w:hAnsiTheme="majorHAnsi" w:cstheme="majorHAnsi"/>
          <w:color w:val="000000"/>
          <w:shd w:val="clear" w:color="auto" w:fill="FFFFFF"/>
          <w:lang w:val="es-PR"/>
        </w:rPr>
        <w:t>gerenciales</w:t>
      </w:r>
      <w:r w:rsidRPr="00BB36A5">
        <w:rPr>
          <w:rFonts w:asciiTheme="majorHAnsi" w:hAnsiTheme="majorHAnsi" w:cstheme="majorHAnsi"/>
          <w:color w:val="000000"/>
          <w:shd w:val="clear" w:color="auto" w:fill="FFFFFF"/>
          <w:lang w:val="es-PR"/>
        </w:rPr>
        <w:t xml:space="preserve"> </w:t>
      </w:r>
      <w:r w:rsidR="00C8292C" w:rsidRPr="00BB36A5">
        <w:rPr>
          <w:rFonts w:asciiTheme="majorHAnsi" w:hAnsiTheme="majorHAnsi" w:cstheme="majorHAnsi"/>
          <w:color w:val="000000"/>
          <w:shd w:val="clear" w:color="auto" w:fill="FFFFFF"/>
          <w:lang w:val="es-PR"/>
        </w:rPr>
        <w:t xml:space="preserve">para </w:t>
      </w:r>
      <w:r w:rsidRPr="00BB36A5">
        <w:rPr>
          <w:rFonts w:asciiTheme="majorHAnsi" w:hAnsiTheme="majorHAnsi" w:cstheme="majorHAnsi"/>
          <w:color w:val="000000"/>
          <w:shd w:val="clear" w:color="auto" w:fill="FFFFFF"/>
          <w:lang w:val="es-PR"/>
        </w:rPr>
        <w:t>promover la eficiencia opera</w:t>
      </w:r>
      <w:r w:rsidR="00C8292C" w:rsidRPr="00BB36A5">
        <w:rPr>
          <w:rFonts w:asciiTheme="majorHAnsi" w:hAnsiTheme="majorHAnsi" w:cstheme="majorHAnsi"/>
          <w:color w:val="000000"/>
          <w:shd w:val="clear" w:color="auto" w:fill="FFFFFF"/>
          <w:lang w:val="es-PR"/>
        </w:rPr>
        <w:t>cional</w:t>
      </w:r>
      <w:r w:rsidRPr="00BB36A5">
        <w:rPr>
          <w:rFonts w:asciiTheme="majorHAnsi" w:hAnsiTheme="majorHAnsi" w:cstheme="majorHAnsi"/>
          <w:color w:val="000000"/>
          <w:shd w:val="clear" w:color="auto" w:fill="FFFFFF"/>
          <w:lang w:val="es-PR"/>
        </w:rPr>
        <w:t xml:space="preserve">, la eficacia y el cumplimiento de todas las leyes, reglamentos, políticas y procedimientos aplicables. Los </w:t>
      </w:r>
      <w:r w:rsidRPr="00BB36A5">
        <w:rPr>
          <w:rFonts w:asciiTheme="majorHAnsi" w:hAnsiTheme="majorHAnsi" w:cstheme="majorHAnsi"/>
          <w:b/>
          <w:bCs/>
          <w:color w:val="000000"/>
          <w:shd w:val="clear" w:color="auto" w:fill="FFFFFF"/>
          <w:lang w:val="es-PR"/>
        </w:rPr>
        <w:t>controles internos</w:t>
      </w:r>
      <w:r w:rsidRPr="00BB36A5">
        <w:rPr>
          <w:rFonts w:asciiTheme="majorHAnsi" w:hAnsiTheme="majorHAnsi" w:cstheme="majorHAnsi"/>
          <w:color w:val="000000"/>
          <w:shd w:val="clear" w:color="auto" w:fill="FFFFFF"/>
          <w:lang w:val="es-PR"/>
        </w:rPr>
        <w:t xml:space="preserve"> son los componentes básicos de un </w:t>
      </w:r>
      <w:r w:rsidRPr="00BB36A5">
        <w:rPr>
          <w:rFonts w:asciiTheme="majorHAnsi" w:hAnsiTheme="majorHAnsi" w:cstheme="majorHAnsi"/>
          <w:b/>
          <w:bCs/>
          <w:color w:val="000000"/>
          <w:shd w:val="clear" w:color="auto" w:fill="FFFFFF"/>
          <w:lang w:val="es-PR"/>
        </w:rPr>
        <w:t>sistema de control interno</w:t>
      </w:r>
      <w:r w:rsidRPr="00BB36A5">
        <w:rPr>
          <w:rFonts w:asciiTheme="majorHAnsi" w:hAnsiTheme="majorHAnsi" w:cstheme="majorHAnsi"/>
          <w:color w:val="000000"/>
          <w:shd w:val="clear" w:color="auto" w:fill="FFFFFF"/>
          <w:lang w:val="es-PR"/>
        </w:rPr>
        <w:t xml:space="preserve">, la suma de todos los controles internos y las </w:t>
      </w:r>
      <w:r w:rsidR="00C8292C" w:rsidRPr="00BB36A5">
        <w:rPr>
          <w:rFonts w:asciiTheme="majorHAnsi" w:hAnsiTheme="majorHAnsi" w:cstheme="majorHAnsi"/>
          <w:color w:val="000000"/>
          <w:shd w:val="clear" w:color="auto" w:fill="FFFFFF"/>
          <w:lang w:val="es-PR"/>
        </w:rPr>
        <w:t>políticas</w:t>
      </w:r>
      <w:r w:rsidRPr="00BB36A5">
        <w:rPr>
          <w:rFonts w:asciiTheme="majorHAnsi" w:hAnsiTheme="majorHAnsi" w:cstheme="majorHAnsi"/>
          <w:color w:val="000000"/>
          <w:shd w:val="clear" w:color="auto" w:fill="FFFFFF"/>
          <w:lang w:val="es-PR"/>
        </w:rPr>
        <w:t xml:space="preserve"> dentro de una organización que protege los activos y l</w:t>
      </w:r>
      <w:r w:rsidR="00C8292C" w:rsidRPr="00BB36A5">
        <w:rPr>
          <w:rFonts w:asciiTheme="majorHAnsi" w:hAnsiTheme="majorHAnsi" w:cstheme="majorHAnsi"/>
          <w:color w:val="000000"/>
          <w:shd w:val="clear" w:color="auto" w:fill="FFFFFF"/>
          <w:lang w:val="es-PR"/>
        </w:rPr>
        <w:t>os</w:t>
      </w:r>
      <w:r w:rsidRPr="00BB36A5">
        <w:rPr>
          <w:rFonts w:asciiTheme="majorHAnsi" w:hAnsiTheme="majorHAnsi" w:cstheme="majorHAnsi"/>
          <w:color w:val="000000"/>
          <w:shd w:val="clear" w:color="auto" w:fill="FFFFFF"/>
          <w:lang w:val="es-PR"/>
        </w:rPr>
        <w:t xml:space="preserve"> datos.</w:t>
      </w:r>
    </w:p>
    <w:p w14:paraId="509A352C" w14:textId="77777777" w:rsidR="00D5654E" w:rsidRPr="00BB36A5" w:rsidRDefault="00D5654E" w:rsidP="00FE4383">
      <w:pPr>
        <w:shd w:val="clear" w:color="auto" w:fill="FFFFFF" w:themeFill="background1"/>
        <w:jc w:val="both"/>
        <w:rPr>
          <w:rFonts w:asciiTheme="majorHAnsi" w:hAnsiTheme="majorHAnsi" w:cstheme="majorHAnsi"/>
          <w:shd w:val="clear" w:color="auto" w:fill="FFFFFF"/>
          <w:lang w:val="es-PR"/>
        </w:rPr>
      </w:pPr>
    </w:p>
    <w:p w14:paraId="73B35D6A" w14:textId="164742F5" w:rsidR="00C8292C" w:rsidRPr="00104131" w:rsidRDefault="00C8292C" w:rsidP="00FE4383">
      <w:pPr>
        <w:shd w:val="clear" w:color="auto" w:fill="FFFFFF" w:themeFill="background1"/>
        <w:jc w:val="both"/>
        <w:rPr>
          <w:rFonts w:asciiTheme="majorHAnsi" w:hAnsiTheme="majorHAnsi" w:cstheme="majorHAnsi"/>
          <w:shd w:val="clear" w:color="auto" w:fill="FFFFFF" w:themeFill="background1"/>
          <w:lang w:val="es-PR"/>
        </w:rPr>
      </w:pPr>
      <w:r w:rsidRPr="00BB36A5">
        <w:rPr>
          <w:rFonts w:asciiTheme="majorHAnsi" w:hAnsiTheme="majorHAnsi" w:cstheme="majorHAnsi"/>
          <w:shd w:val="clear" w:color="auto" w:fill="FFFFFF" w:themeFill="background1"/>
          <w:lang w:val="es-PR"/>
        </w:rPr>
        <w:t>Este documento está alineado con las regulaciones federales y provee una garantía razonable de que la entidad no federal está administrando la utilización de los fondos de conformidad con las leyes federales, las regulaciones, los términos y condiciones de la subvención federal.  Aunque nuestro sistema no puede evitar que se produzca algún tipo de mal manejo o de pérdidas, reducirá significativamente el riesgo de pérdidas y aumentará la posibilidad de identificar a las partes responsables.  Este documento tiene como objetivo garantizar la integridad de los activos, información contable confiable e informes financieros, mejora la eficiencia dentro de una organización, proporciona guías y posibles consecuencias para hacer frente a los incumplimientos. Los controles internos impulsan muchas decisiones y procedimientos operativos generales dentro de una organización.</w:t>
      </w:r>
    </w:p>
    <w:p w14:paraId="64647A39" w14:textId="77777777" w:rsidR="00C8292C" w:rsidRPr="00104131" w:rsidRDefault="00C8292C" w:rsidP="00FE4383">
      <w:pPr>
        <w:shd w:val="clear" w:color="auto" w:fill="FFFFFF" w:themeFill="background1"/>
        <w:jc w:val="both"/>
        <w:rPr>
          <w:rFonts w:asciiTheme="majorHAnsi" w:hAnsiTheme="majorHAnsi" w:cstheme="majorHAnsi"/>
          <w:shd w:val="clear" w:color="auto" w:fill="FFFFFF" w:themeFill="background1"/>
          <w:lang w:val="es-PR"/>
        </w:rPr>
      </w:pPr>
    </w:p>
    <w:p w14:paraId="576FA237" w14:textId="77777777" w:rsidR="00FE4383" w:rsidRPr="00104131" w:rsidRDefault="00FE4383" w:rsidP="00FE4383">
      <w:pPr>
        <w:shd w:val="clear" w:color="auto" w:fill="FFFFFF" w:themeFill="background1"/>
        <w:jc w:val="both"/>
        <w:rPr>
          <w:rFonts w:asciiTheme="majorHAnsi" w:hAnsiTheme="majorHAnsi" w:cstheme="majorHAnsi"/>
          <w:shd w:val="clear" w:color="auto" w:fill="FFFFFF"/>
          <w:lang w:val="es-PR"/>
        </w:rPr>
      </w:pPr>
    </w:p>
    <w:sectPr w:rsidR="00FE4383" w:rsidRPr="00104131" w:rsidSect="00131772">
      <w:footerReference w:type="even"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161B" w14:textId="77777777" w:rsidR="007F2733" w:rsidRDefault="007F2733" w:rsidP="00AF5D6D">
      <w:r>
        <w:separator/>
      </w:r>
    </w:p>
  </w:endnote>
  <w:endnote w:type="continuationSeparator" w:id="0">
    <w:p w14:paraId="03A45CD3" w14:textId="77777777" w:rsidR="007F2733" w:rsidRDefault="007F2733" w:rsidP="00AF5D6D">
      <w:r>
        <w:continuationSeparator/>
      </w:r>
    </w:p>
  </w:endnote>
  <w:endnote w:type="continuationNotice" w:id="1">
    <w:p w14:paraId="65AED0E7" w14:textId="77777777" w:rsidR="007F2733" w:rsidRDefault="007F2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308959"/>
      <w:docPartObj>
        <w:docPartGallery w:val="Page Numbers (Bottom of Page)"/>
        <w:docPartUnique/>
      </w:docPartObj>
    </w:sdtPr>
    <w:sdtContent>
      <w:p w14:paraId="0F70C28A" w14:textId="77777777" w:rsidR="004475B3" w:rsidRDefault="004475B3" w:rsidP="001C7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3E14D" w14:textId="77777777" w:rsidR="004475B3" w:rsidRDefault="004475B3" w:rsidP="00AF5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378277"/>
      <w:docPartObj>
        <w:docPartGallery w:val="Page Numbers (Bottom of Page)"/>
        <w:docPartUnique/>
      </w:docPartObj>
    </w:sdtPr>
    <w:sdtContent>
      <w:p w14:paraId="2F299633" w14:textId="6E5C643B" w:rsidR="004475B3" w:rsidRDefault="004475B3" w:rsidP="001C7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6973F4CC" w14:textId="77777777" w:rsidR="004475B3" w:rsidRDefault="004475B3" w:rsidP="00AF5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96F68" w14:textId="77777777" w:rsidR="007F2733" w:rsidRDefault="007F2733" w:rsidP="00AF5D6D">
      <w:r>
        <w:separator/>
      </w:r>
    </w:p>
  </w:footnote>
  <w:footnote w:type="continuationSeparator" w:id="0">
    <w:p w14:paraId="2E3E61A6" w14:textId="77777777" w:rsidR="007F2733" w:rsidRDefault="007F2733" w:rsidP="00AF5D6D">
      <w:r>
        <w:continuationSeparator/>
      </w:r>
    </w:p>
  </w:footnote>
  <w:footnote w:type="continuationNotice" w:id="1">
    <w:p w14:paraId="4CE8D8E4" w14:textId="77777777" w:rsidR="007F2733" w:rsidRDefault="007F2733"/>
  </w:footnote>
  <w:footnote w:id="2">
    <w:p w14:paraId="0B3A4785" w14:textId="77777777" w:rsidR="004475B3" w:rsidRDefault="004475B3" w:rsidP="00EB6E35">
      <w:pPr>
        <w:pStyle w:val="FootnoteText"/>
      </w:pPr>
      <w:r>
        <w:rPr>
          <w:rStyle w:val="FootnoteReference"/>
        </w:rPr>
        <w:footnoteRef/>
      </w:r>
      <w:r>
        <w:t xml:space="preserve"> </w:t>
      </w:r>
      <w:r w:rsidRPr="00511200">
        <w:t>https://www2.ed.gov/policy/fund/reg/edgarReg/edgar.html</w:t>
      </w:r>
    </w:p>
  </w:footnote>
  <w:footnote w:id="3">
    <w:p w14:paraId="740BED26" w14:textId="77777777" w:rsidR="004475B3" w:rsidRDefault="004475B3" w:rsidP="00AD5F66">
      <w:pPr>
        <w:pStyle w:val="FootnoteText"/>
      </w:pPr>
      <w:r>
        <w:rPr>
          <w:rStyle w:val="FootnoteReference"/>
        </w:rPr>
        <w:footnoteRef/>
      </w:r>
      <w:r>
        <w:t xml:space="preserve"> </w:t>
      </w:r>
      <w:r w:rsidRPr="00511200">
        <w:t>https://www2.ed.gov/policy/fund/reg/edgarReg/edgar.html</w:t>
      </w:r>
    </w:p>
  </w:footnote>
  <w:footnote w:id="4">
    <w:p w14:paraId="009D3A7B" w14:textId="49950683" w:rsidR="004475B3" w:rsidRPr="00342E9E" w:rsidRDefault="004475B3" w:rsidP="005B5C47">
      <w:pPr>
        <w:pStyle w:val="IntenseQuote"/>
        <w:pBdr>
          <w:bottom w:val="none" w:sz="0" w:space="0" w:color="auto"/>
        </w:pBdr>
        <w:spacing w:before="0" w:after="0" w:line="240" w:lineRule="auto"/>
        <w:ind w:left="0"/>
        <w:rPr>
          <w:i w:val="0"/>
          <w:iCs w:val="0"/>
          <w:sz w:val="18"/>
          <w:szCs w:val="18"/>
        </w:rPr>
      </w:pPr>
      <w:r w:rsidRPr="00342E9E">
        <w:rPr>
          <w:rStyle w:val="FootnoteReference"/>
          <w:b w:val="0"/>
          <w:i w:val="0"/>
          <w:iCs w:val="0"/>
          <w:color w:val="auto"/>
          <w:sz w:val="18"/>
          <w:szCs w:val="18"/>
        </w:rPr>
        <w:footnoteRef/>
      </w:r>
      <w:r w:rsidRPr="00342E9E">
        <w:rPr>
          <w:b w:val="0"/>
          <w:i w:val="0"/>
          <w:iCs w:val="0"/>
          <w:color w:val="auto"/>
          <w:sz w:val="18"/>
          <w:szCs w:val="18"/>
        </w:rPr>
        <w:t xml:space="preserve"> </w:t>
      </w:r>
      <w:r w:rsidRPr="00342E9E">
        <w:rPr>
          <w:rFonts w:asciiTheme="majorHAnsi" w:hAnsiTheme="majorHAnsi" w:cstheme="majorHAnsi"/>
          <w:b w:val="0"/>
          <w:i w:val="0"/>
          <w:iCs w:val="0"/>
          <w:color w:val="auto"/>
          <w:sz w:val="18"/>
          <w:szCs w:val="18"/>
        </w:rPr>
        <w:t xml:space="preserve">For further details of the PRDE internal control system you may refer to the </w:t>
      </w:r>
      <w:r w:rsidRPr="00342E9E">
        <w:rPr>
          <w:rFonts w:asciiTheme="majorHAnsi" w:hAnsiTheme="majorHAnsi" w:cstheme="majorHAnsi"/>
          <w:bCs w:val="0"/>
          <w:i w:val="0"/>
          <w:iCs w:val="0"/>
          <w:color w:val="auto"/>
          <w:sz w:val="18"/>
          <w:szCs w:val="18"/>
        </w:rPr>
        <w:t>PRDE Restart Unit Internal Control review component and principles evaluation guide 2020.02</w:t>
      </w:r>
    </w:p>
  </w:footnote>
  <w:footnote w:id="5">
    <w:p w14:paraId="0216E6B3" w14:textId="77777777" w:rsidR="004475B3" w:rsidRDefault="004475B3" w:rsidP="00B741C1">
      <w:pPr>
        <w:pStyle w:val="FootnoteText"/>
      </w:pPr>
      <w:r w:rsidRPr="005B5C47">
        <w:rPr>
          <w:rStyle w:val="FootnoteReference"/>
          <w:sz w:val="18"/>
          <w:szCs w:val="18"/>
        </w:rPr>
        <w:footnoteRef/>
      </w:r>
      <w:r w:rsidRPr="005B5C47">
        <w:rPr>
          <w:sz w:val="18"/>
          <w:szCs w:val="18"/>
        </w:rPr>
        <w:t xml:space="preserve"> https://www.coso.org/Pages/default.aspx</w:t>
      </w:r>
    </w:p>
  </w:footnote>
  <w:footnote w:id="6">
    <w:p w14:paraId="16E07F0A" w14:textId="77777777" w:rsidR="004475B3" w:rsidRDefault="004475B3" w:rsidP="00B67E90">
      <w:pPr>
        <w:pStyle w:val="FootnoteText"/>
      </w:pPr>
      <w:r>
        <w:rPr>
          <w:rStyle w:val="FootnoteReference"/>
        </w:rPr>
        <w:footnoteRef/>
      </w:r>
      <w:r>
        <w:t xml:space="preserve"> </w:t>
      </w:r>
      <w:r w:rsidRPr="004F6423">
        <w:t>https://www.whitehouse.gov/wp-content/uploads/2019/07/2-CFR_Part-200_Appendix-XI_Compliance-Supplement_2019_FINAL_07.01.19.pdf</w:t>
      </w:r>
    </w:p>
  </w:footnote>
  <w:footnote w:id="7">
    <w:p w14:paraId="4F2CCF1B" w14:textId="2ACB1406" w:rsidR="004475B3" w:rsidRPr="00342E9E" w:rsidRDefault="004475B3">
      <w:pPr>
        <w:pStyle w:val="FootnoteText"/>
      </w:pPr>
      <w:r>
        <w:rPr>
          <w:rStyle w:val="FootnoteReference"/>
        </w:rPr>
        <w:footnoteRef/>
      </w:r>
      <w:r>
        <w:t xml:space="preserve"> </w:t>
      </w:r>
      <w:r w:rsidRPr="00342E9E">
        <w:rPr>
          <w:rFonts w:asciiTheme="majorHAnsi" w:hAnsiTheme="majorHAnsi" w:cstheme="majorHAnsi"/>
        </w:rPr>
        <w:t>For the s</w:t>
      </w:r>
      <w:r w:rsidRPr="00342E9E">
        <w:t xml:space="preserve">pecific functions and responsibilities of the personnel under de RESTART Office </w:t>
      </w:r>
      <w:r w:rsidRPr="00342E9E">
        <w:rPr>
          <w:rFonts w:asciiTheme="majorHAnsi" w:hAnsiTheme="majorHAnsi" w:cstheme="majorHAnsi"/>
        </w:rPr>
        <w:t xml:space="preserve">you may refer to the </w:t>
      </w:r>
      <w:r w:rsidRPr="00342E9E">
        <w:rPr>
          <w:rFonts w:asciiTheme="majorHAnsi" w:hAnsiTheme="majorHAnsi" w:cstheme="majorHAnsi"/>
          <w:bCs/>
        </w:rPr>
        <w:t>PRDE Restart Unit Internal Control Review Component and Principles Evaluation Guide 2020.02, Appendix.</w:t>
      </w:r>
    </w:p>
  </w:footnote>
  <w:footnote w:id="8">
    <w:p w14:paraId="21AF19E1" w14:textId="77777777" w:rsidR="004475B3" w:rsidRDefault="004475B3" w:rsidP="00532B16">
      <w:pPr>
        <w:pStyle w:val="FootnoteText"/>
      </w:pPr>
      <w:r>
        <w:rPr>
          <w:rStyle w:val="FootnoteReference"/>
        </w:rPr>
        <w:footnoteRef/>
      </w:r>
      <w:r>
        <w:t xml:space="preserve"> </w:t>
      </w:r>
      <w:hyperlink r:id="rId1" w:history="1">
        <w:r w:rsidRPr="00342E9E">
          <w:rPr>
            <w:rStyle w:val="Hyperlink"/>
            <w:color w:val="auto"/>
          </w:rPr>
          <w:t>https://www.coso.org/Pages/ic.aspx</w:t>
        </w:r>
      </w:hyperlink>
    </w:p>
  </w:footnote>
  <w:footnote w:id="9">
    <w:p w14:paraId="55809352" w14:textId="77777777" w:rsidR="004475B3" w:rsidRDefault="004475B3" w:rsidP="00532B16">
      <w:pPr>
        <w:pStyle w:val="FootnoteText"/>
      </w:pPr>
      <w:r>
        <w:rPr>
          <w:rStyle w:val="FootnoteReference"/>
        </w:rPr>
        <w:footnoteRef/>
      </w:r>
      <w:r>
        <w:t xml:space="preserve"> </w:t>
      </w:r>
      <w:r w:rsidRPr="005E580E">
        <w:t>https://www.gao.gov/greenbook/overview</w:t>
      </w:r>
    </w:p>
  </w:footnote>
  <w:footnote w:id="10">
    <w:p w14:paraId="16D4B724" w14:textId="77777777" w:rsidR="004475B3" w:rsidRDefault="004475B3" w:rsidP="000B208A">
      <w:pPr>
        <w:pStyle w:val="FootnoteText"/>
      </w:pPr>
      <w:r>
        <w:rPr>
          <w:rStyle w:val="FootnoteReference"/>
        </w:rPr>
        <w:footnoteRef/>
      </w:r>
      <w:r>
        <w:t xml:space="preserve"> Procurement Reform 2019: ACT 73-2019 also known as the General Services Administration (GSA) for the centralization of Purchases of the Government of Puerto Rico</w:t>
      </w:r>
    </w:p>
  </w:footnote>
  <w:footnote w:id="11">
    <w:p w14:paraId="4441A21B" w14:textId="595C8400" w:rsidR="004475B3" w:rsidRDefault="004475B3" w:rsidP="00490BE6">
      <w:pPr>
        <w:pStyle w:val="FootnoteText"/>
      </w:pPr>
      <w:r>
        <w:rPr>
          <w:rStyle w:val="FootnoteReference"/>
        </w:rPr>
        <w:footnoteRef/>
      </w:r>
      <w:r>
        <w:t xml:space="preserve"> PRDE will provide a copy USDE once the manual is complete.</w:t>
      </w:r>
    </w:p>
  </w:footnote>
  <w:footnote w:id="12">
    <w:p w14:paraId="77826181" w14:textId="77777777" w:rsidR="004475B3" w:rsidRDefault="004475B3" w:rsidP="002C4B42">
      <w:pPr>
        <w:pStyle w:val="FootnoteText"/>
      </w:pPr>
      <w:r>
        <w:rPr>
          <w:rStyle w:val="FootnoteReference"/>
        </w:rPr>
        <w:footnoteRef/>
      </w:r>
      <w:r>
        <w:t xml:space="preserve"> Specific tools were developed to assess each compliance component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F59"/>
    <w:multiLevelType w:val="hybridMultilevel"/>
    <w:tmpl w:val="7F4CF6FC"/>
    <w:lvl w:ilvl="0" w:tplc="04090003">
      <w:start w:val="1"/>
      <w:numFmt w:val="bullet"/>
      <w:lvlText w:val="o"/>
      <w:lvlJc w:val="left"/>
      <w:pPr>
        <w:ind w:left="720" w:hanging="360"/>
      </w:pPr>
      <w:rPr>
        <w:rFonts w:ascii="Courier New" w:hAnsi="Courier New" w:cs="Courier New" w:hint="default"/>
      </w:rPr>
    </w:lvl>
    <w:lvl w:ilvl="1" w:tplc="42507F7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2E9"/>
    <w:multiLevelType w:val="multilevel"/>
    <w:tmpl w:val="136C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C30A4"/>
    <w:multiLevelType w:val="hybridMultilevel"/>
    <w:tmpl w:val="7C507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7A6"/>
    <w:multiLevelType w:val="multilevel"/>
    <w:tmpl w:val="FAE2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940FA"/>
    <w:multiLevelType w:val="hybridMultilevel"/>
    <w:tmpl w:val="D360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66CCB"/>
    <w:multiLevelType w:val="hybridMultilevel"/>
    <w:tmpl w:val="00C4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1155"/>
    <w:multiLevelType w:val="hybridMultilevel"/>
    <w:tmpl w:val="2EA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4976"/>
    <w:multiLevelType w:val="hybridMultilevel"/>
    <w:tmpl w:val="069CE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13C6"/>
    <w:multiLevelType w:val="hybridMultilevel"/>
    <w:tmpl w:val="68A8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A1CC0"/>
    <w:multiLevelType w:val="hybridMultilevel"/>
    <w:tmpl w:val="6E04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9333D"/>
    <w:multiLevelType w:val="hybridMultilevel"/>
    <w:tmpl w:val="DFFA35DE"/>
    <w:lvl w:ilvl="0" w:tplc="04090003">
      <w:start w:val="1"/>
      <w:numFmt w:val="bullet"/>
      <w:lvlText w:val="o"/>
      <w:lvlJc w:val="left"/>
      <w:pPr>
        <w:ind w:left="1350" w:hanging="360"/>
      </w:pPr>
      <w:rPr>
        <w:rFonts w:ascii="Courier New" w:hAnsi="Courier New" w:cs="Courier New" w:hint="default"/>
        <w:color w:val="auto"/>
      </w:rPr>
    </w:lvl>
    <w:lvl w:ilvl="1" w:tplc="500A0003">
      <w:start w:val="1"/>
      <w:numFmt w:val="bullet"/>
      <w:lvlText w:val="o"/>
      <w:lvlJc w:val="left"/>
      <w:pPr>
        <w:ind w:left="2070" w:hanging="360"/>
      </w:pPr>
      <w:rPr>
        <w:rFonts w:ascii="Courier New" w:hAnsi="Courier New" w:cs="Courier New" w:hint="default"/>
      </w:rPr>
    </w:lvl>
    <w:lvl w:ilvl="2" w:tplc="500A0005">
      <w:start w:val="1"/>
      <w:numFmt w:val="bullet"/>
      <w:lvlText w:val=""/>
      <w:lvlJc w:val="left"/>
      <w:pPr>
        <w:ind w:left="2790" w:hanging="360"/>
      </w:pPr>
      <w:rPr>
        <w:rFonts w:ascii="Wingdings" w:hAnsi="Wingdings" w:hint="default"/>
      </w:rPr>
    </w:lvl>
    <w:lvl w:ilvl="3" w:tplc="500A0001">
      <w:start w:val="1"/>
      <w:numFmt w:val="bullet"/>
      <w:lvlText w:val=""/>
      <w:lvlJc w:val="left"/>
      <w:pPr>
        <w:ind w:left="3510" w:hanging="360"/>
      </w:pPr>
      <w:rPr>
        <w:rFonts w:ascii="Symbol" w:hAnsi="Symbol" w:hint="default"/>
      </w:rPr>
    </w:lvl>
    <w:lvl w:ilvl="4" w:tplc="500A0003">
      <w:start w:val="1"/>
      <w:numFmt w:val="bullet"/>
      <w:lvlText w:val="o"/>
      <w:lvlJc w:val="left"/>
      <w:pPr>
        <w:ind w:left="4230" w:hanging="360"/>
      </w:pPr>
      <w:rPr>
        <w:rFonts w:ascii="Courier New" w:hAnsi="Courier New" w:cs="Courier New" w:hint="default"/>
      </w:rPr>
    </w:lvl>
    <w:lvl w:ilvl="5" w:tplc="500A0005">
      <w:start w:val="1"/>
      <w:numFmt w:val="bullet"/>
      <w:lvlText w:val=""/>
      <w:lvlJc w:val="left"/>
      <w:pPr>
        <w:ind w:left="4950" w:hanging="360"/>
      </w:pPr>
      <w:rPr>
        <w:rFonts w:ascii="Wingdings" w:hAnsi="Wingdings" w:hint="default"/>
      </w:rPr>
    </w:lvl>
    <w:lvl w:ilvl="6" w:tplc="500A0001">
      <w:start w:val="1"/>
      <w:numFmt w:val="bullet"/>
      <w:lvlText w:val=""/>
      <w:lvlJc w:val="left"/>
      <w:pPr>
        <w:ind w:left="5670" w:hanging="360"/>
      </w:pPr>
      <w:rPr>
        <w:rFonts w:ascii="Symbol" w:hAnsi="Symbol" w:hint="default"/>
      </w:rPr>
    </w:lvl>
    <w:lvl w:ilvl="7" w:tplc="500A0003">
      <w:start w:val="1"/>
      <w:numFmt w:val="bullet"/>
      <w:lvlText w:val="o"/>
      <w:lvlJc w:val="left"/>
      <w:pPr>
        <w:ind w:left="6390" w:hanging="360"/>
      </w:pPr>
      <w:rPr>
        <w:rFonts w:ascii="Courier New" w:hAnsi="Courier New" w:cs="Courier New" w:hint="default"/>
      </w:rPr>
    </w:lvl>
    <w:lvl w:ilvl="8" w:tplc="500A0005">
      <w:start w:val="1"/>
      <w:numFmt w:val="bullet"/>
      <w:lvlText w:val=""/>
      <w:lvlJc w:val="left"/>
      <w:pPr>
        <w:ind w:left="7110" w:hanging="360"/>
      </w:pPr>
      <w:rPr>
        <w:rFonts w:ascii="Wingdings" w:hAnsi="Wingdings" w:hint="default"/>
      </w:rPr>
    </w:lvl>
  </w:abstractNum>
  <w:abstractNum w:abstractNumId="11" w15:restartNumberingAfterBreak="0">
    <w:nsid w:val="436A6D87"/>
    <w:multiLevelType w:val="hybridMultilevel"/>
    <w:tmpl w:val="208C0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69CC"/>
    <w:multiLevelType w:val="hybridMultilevel"/>
    <w:tmpl w:val="1D409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0E36"/>
    <w:multiLevelType w:val="hybridMultilevel"/>
    <w:tmpl w:val="CFD6EB7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492209D"/>
    <w:multiLevelType w:val="hybridMultilevel"/>
    <w:tmpl w:val="ACDCF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C340F"/>
    <w:multiLevelType w:val="hybridMultilevel"/>
    <w:tmpl w:val="E2208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82718A"/>
    <w:multiLevelType w:val="hybridMultilevel"/>
    <w:tmpl w:val="0D327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3DA3"/>
    <w:multiLevelType w:val="hybridMultilevel"/>
    <w:tmpl w:val="7E085FAC"/>
    <w:lvl w:ilvl="0" w:tplc="B2C2517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257EF"/>
    <w:multiLevelType w:val="hybridMultilevel"/>
    <w:tmpl w:val="83EA3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D1F9B"/>
    <w:multiLevelType w:val="hybridMultilevel"/>
    <w:tmpl w:val="48A8C6D8"/>
    <w:lvl w:ilvl="0" w:tplc="C5201318">
      <w:start w:val="1"/>
      <w:numFmt w:val="bullet"/>
      <w:lvlText w:val=""/>
      <w:lvlJc w:val="left"/>
      <w:pPr>
        <w:ind w:left="1350" w:hanging="360"/>
      </w:pPr>
      <w:rPr>
        <w:rFonts w:ascii="Symbol" w:hAnsi="Symbol" w:hint="default"/>
        <w:color w:val="auto"/>
      </w:rPr>
    </w:lvl>
    <w:lvl w:ilvl="1" w:tplc="500A0003">
      <w:start w:val="1"/>
      <w:numFmt w:val="bullet"/>
      <w:lvlText w:val="o"/>
      <w:lvlJc w:val="left"/>
      <w:pPr>
        <w:ind w:left="2070" w:hanging="360"/>
      </w:pPr>
      <w:rPr>
        <w:rFonts w:ascii="Courier New" w:hAnsi="Courier New" w:cs="Courier New" w:hint="default"/>
      </w:rPr>
    </w:lvl>
    <w:lvl w:ilvl="2" w:tplc="500A0005">
      <w:start w:val="1"/>
      <w:numFmt w:val="bullet"/>
      <w:lvlText w:val=""/>
      <w:lvlJc w:val="left"/>
      <w:pPr>
        <w:ind w:left="2790" w:hanging="360"/>
      </w:pPr>
      <w:rPr>
        <w:rFonts w:ascii="Wingdings" w:hAnsi="Wingdings" w:hint="default"/>
      </w:rPr>
    </w:lvl>
    <w:lvl w:ilvl="3" w:tplc="500A0001">
      <w:start w:val="1"/>
      <w:numFmt w:val="bullet"/>
      <w:lvlText w:val=""/>
      <w:lvlJc w:val="left"/>
      <w:pPr>
        <w:ind w:left="3510" w:hanging="360"/>
      </w:pPr>
      <w:rPr>
        <w:rFonts w:ascii="Symbol" w:hAnsi="Symbol" w:hint="default"/>
      </w:rPr>
    </w:lvl>
    <w:lvl w:ilvl="4" w:tplc="500A0003">
      <w:start w:val="1"/>
      <w:numFmt w:val="bullet"/>
      <w:lvlText w:val="o"/>
      <w:lvlJc w:val="left"/>
      <w:pPr>
        <w:ind w:left="4230" w:hanging="360"/>
      </w:pPr>
      <w:rPr>
        <w:rFonts w:ascii="Courier New" w:hAnsi="Courier New" w:cs="Courier New" w:hint="default"/>
      </w:rPr>
    </w:lvl>
    <w:lvl w:ilvl="5" w:tplc="500A0005">
      <w:start w:val="1"/>
      <w:numFmt w:val="bullet"/>
      <w:lvlText w:val=""/>
      <w:lvlJc w:val="left"/>
      <w:pPr>
        <w:ind w:left="4950" w:hanging="360"/>
      </w:pPr>
      <w:rPr>
        <w:rFonts w:ascii="Wingdings" w:hAnsi="Wingdings" w:hint="default"/>
      </w:rPr>
    </w:lvl>
    <w:lvl w:ilvl="6" w:tplc="500A0001">
      <w:start w:val="1"/>
      <w:numFmt w:val="bullet"/>
      <w:lvlText w:val=""/>
      <w:lvlJc w:val="left"/>
      <w:pPr>
        <w:ind w:left="5670" w:hanging="360"/>
      </w:pPr>
      <w:rPr>
        <w:rFonts w:ascii="Symbol" w:hAnsi="Symbol" w:hint="default"/>
      </w:rPr>
    </w:lvl>
    <w:lvl w:ilvl="7" w:tplc="500A0003">
      <w:start w:val="1"/>
      <w:numFmt w:val="bullet"/>
      <w:lvlText w:val="o"/>
      <w:lvlJc w:val="left"/>
      <w:pPr>
        <w:ind w:left="6390" w:hanging="360"/>
      </w:pPr>
      <w:rPr>
        <w:rFonts w:ascii="Courier New" w:hAnsi="Courier New" w:cs="Courier New" w:hint="default"/>
      </w:rPr>
    </w:lvl>
    <w:lvl w:ilvl="8" w:tplc="500A0005">
      <w:start w:val="1"/>
      <w:numFmt w:val="bullet"/>
      <w:lvlText w:val=""/>
      <w:lvlJc w:val="left"/>
      <w:pPr>
        <w:ind w:left="7110" w:hanging="360"/>
      </w:pPr>
      <w:rPr>
        <w:rFonts w:ascii="Wingdings" w:hAnsi="Wingdings" w:hint="default"/>
      </w:rPr>
    </w:lvl>
  </w:abstractNum>
  <w:abstractNum w:abstractNumId="20" w15:restartNumberingAfterBreak="0">
    <w:nsid w:val="6E5457AD"/>
    <w:multiLevelType w:val="hybridMultilevel"/>
    <w:tmpl w:val="9CCE114C"/>
    <w:lvl w:ilvl="0" w:tplc="F462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E48B7"/>
    <w:multiLevelType w:val="hybridMultilevel"/>
    <w:tmpl w:val="B180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A7127"/>
    <w:multiLevelType w:val="hybridMultilevel"/>
    <w:tmpl w:val="78C6E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23644"/>
    <w:multiLevelType w:val="hybridMultilevel"/>
    <w:tmpl w:val="2E00FC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5"/>
  </w:num>
  <w:num w:numId="5">
    <w:abstractNumId w:val="0"/>
  </w:num>
  <w:num w:numId="6">
    <w:abstractNumId w:val="18"/>
  </w:num>
  <w:num w:numId="7">
    <w:abstractNumId w:val="7"/>
  </w:num>
  <w:num w:numId="8">
    <w:abstractNumId w:val="11"/>
  </w:num>
  <w:num w:numId="9">
    <w:abstractNumId w:val="12"/>
  </w:num>
  <w:num w:numId="10">
    <w:abstractNumId w:val="13"/>
  </w:num>
  <w:num w:numId="11">
    <w:abstractNumId w:val="2"/>
  </w:num>
  <w:num w:numId="12">
    <w:abstractNumId w:val="14"/>
  </w:num>
  <w:num w:numId="13">
    <w:abstractNumId w:val="23"/>
  </w:num>
  <w:num w:numId="14">
    <w:abstractNumId w:val="16"/>
  </w:num>
  <w:num w:numId="15">
    <w:abstractNumId w:val="8"/>
  </w:num>
  <w:num w:numId="16">
    <w:abstractNumId w:val="21"/>
  </w:num>
  <w:num w:numId="17">
    <w:abstractNumId w:val="9"/>
  </w:num>
  <w:num w:numId="18">
    <w:abstractNumId w:val="3"/>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19"/>
  </w:num>
  <w:num w:numId="24">
    <w:abstractNumId w:val="10"/>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1D"/>
    <w:rsid w:val="0000034C"/>
    <w:rsid w:val="00000A61"/>
    <w:rsid w:val="00001612"/>
    <w:rsid w:val="0000174B"/>
    <w:rsid w:val="00004E68"/>
    <w:rsid w:val="00005D3D"/>
    <w:rsid w:val="00006C90"/>
    <w:rsid w:val="00010363"/>
    <w:rsid w:val="000116AA"/>
    <w:rsid w:val="00013CBC"/>
    <w:rsid w:val="000152AB"/>
    <w:rsid w:val="0001644E"/>
    <w:rsid w:val="000165F8"/>
    <w:rsid w:val="00020642"/>
    <w:rsid w:val="0002336E"/>
    <w:rsid w:val="00026912"/>
    <w:rsid w:val="000301BA"/>
    <w:rsid w:val="0003057D"/>
    <w:rsid w:val="0003096F"/>
    <w:rsid w:val="00030BB0"/>
    <w:rsid w:val="00032CBA"/>
    <w:rsid w:val="00034F0A"/>
    <w:rsid w:val="00036321"/>
    <w:rsid w:val="00036B8E"/>
    <w:rsid w:val="00037913"/>
    <w:rsid w:val="0004019B"/>
    <w:rsid w:val="00040E0B"/>
    <w:rsid w:val="000411BB"/>
    <w:rsid w:val="000422FC"/>
    <w:rsid w:val="00043380"/>
    <w:rsid w:val="000447A5"/>
    <w:rsid w:val="00044E23"/>
    <w:rsid w:val="000455F9"/>
    <w:rsid w:val="00046D7B"/>
    <w:rsid w:val="00052D8F"/>
    <w:rsid w:val="000531E1"/>
    <w:rsid w:val="00056F18"/>
    <w:rsid w:val="0006296F"/>
    <w:rsid w:val="0007064D"/>
    <w:rsid w:val="00072E0B"/>
    <w:rsid w:val="000748B0"/>
    <w:rsid w:val="00074915"/>
    <w:rsid w:val="00076FA9"/>
    <w:rsid w:val="0008069E"/>
    <w:rsid w:val="00082C26"/>
    <w:rsid w:val="000846E0"/>
    <w:rsid w:val="00087D74"/>
    <w:rsid w:val="00091D46"/>
    <w:rsid w:val="0009756C"/>
    <w:rsid w:val="000A193F"/>
    <w:rsid w:val="000A513F"/>
    <w:rsid w:val="000B208A"/>
    <w:rsid w:val="000B2892"/>
    <w:rsid w:val="000B2BE8"/>
    <w:rsid w:val="000B415A"/>
    <w:rsid w:val="000B4C64"/>
    <w:rsid w:val="000B4E80"/>
    <w:rsid w:val="000B712D"/>
    <w:rsid w:val="000C0ED3"/>
    <w:rsid w:val="000C222F"/>
    <w:rsid w:val="000C24C3"/>
    <w:rsid w:val="000C6570"/>
    <w:rsid w:val="000C6A0D"/>
    <w:rsid w:val="000C722D"/>
    <w:rsid w:val="000C7A60"/>
    <w:rsid w:val="000D0B08"/>
    <w:rsid w:val="000D1472"/>
    <w:rsid w:val="000D4320"/>
    <w:rsid w:val="000D45B5"/>
    <w:rsid w:val="000D65E2"/>
    <w:rsid w:val="000E04A0"/>
    <w:rsid w:val="000E4054"/>
    <w:rsid w:val="000E4409"/>
    <w:rsid w:val="000E64C0"/>
    <w:rsid w:val="000E784D"/>
    <w:rsid w:val="000F247E"/>
    <w:rsid w:val="000F2715"/>
    <w:rsid w:val="000F4C89"/>
    <w:rsid w:val="000F7E51"/>
    <w:rsid w:val="001003D1"/>
    <w:rsid w:val="00104131"/>
    <w:rsid w:val="00104DDD"/>
    <w:rsid w:val="0010623A"/>
    <w:rsid w:val="001147C8"/>
    <w:rsid w:val="00114CCF"/>
    <w:rsid w:val="001163F1"/>
    <w:rsid w:val="00116B7B"/>
    <w:rsid w:val="00117F96"/>
    <w:rsid w:val="0012187D"/>
    <w:rsid w:val="00122BFF"/>
    <w:rsid w:val="001230A2"/>
    <w:rsid w:val="00123430"/>
    <w:rsid w:val="0012387D"/>
    <w:rsid w:val="00125BEE"/>
    <w:rsid w:val="00126638"/>
    <w:rsid w:val="00126F8C"/>
    <w:rsid w:val="001304BE"/>
    <w:rsid w:val="00131772"/>
    <w:rsid w:val="00131801"/>
    <w:rsid w:val="00132C41"/>
    <w:rsid w:val="001331FC"/>
    <w:rsid w:val="00134B00"/>
    <w:rsid w:val="00135665"/>
    <w:rsid w:val="00137764"/>
    <w:rsid w:val="00140C36"/>
    <w:rsid w:val="00142054"/>
    <w:rsid w:val="00142274"/>
    <w:rsid w:val="001456E5"/>
    <w:rsid w:val="00147815"/>
    <w:rsid w:val="00152136"/>
    <w:rsid w:val="001556EA"/>
    <w:rsid w:val="001575BC"/>
    <w:rsid w:val="00157D2C"/>
    <w:rsid w:val="0016572F"/>
    <w:rsid w:val="00171584"/>
    <w:rsid w:val="00175108"/>
    <w:rsid w:val="001763EA"/>
    <w:rsid w:val="0018264B"/>
    <w:rsid w:val="00182B90"/>
    <w:rsid w:val="00183A22"/>
    <w:rsid w:val="0018640A"/>
    <w:rsid w:val="00190075"/>
    <w:rsid w:val="00190E52"/>
    <w:rsid w:val="00193ADE"/>
    <w:rsid w:val="0019485D"/>
    <w:rsid w:val="00197913"/>
    <w:rsid w:val="001A2494"/>
    <w:rsid w:val="001A58E3"/>
    <w:rsid w:val="001A5A37"/>
    <w:rsid w:val="001A5A49"/>
    <w:rsid w:val="001B18EA"/>
    <w:rsid w:val="001B44CD"/>
    <w:rsid w:val="001B50CE"/>
    <w:rsid w:val="001B7D8C"/>
    <w:rsid w:val="001C009C"/>
    <w:rsid w:val="001C0876"/>
    <w:rsid w:val="001C097D"/>
    <w:rsid w:val="001C1ACB"/>
    <w:rsid w:val="001C267C"/>
    <w:rsid w:val="001C4F03"/>
    <w:rsid w:val="001C5D21"/>
    <w:rsid w:val="001C6610"/>
    <w:rsid w:val="001C7DD2"/>
    <w:rsid w:val="001D6B35"/>
    <w:rsid w:val="001E0FFB"/>
    <w:rsid w:val="001E5B91"/>
    <w:rsid w:val="001E6538"/>
    <w:rsid w:val="001E6B3F"/>
    <w:rsid w:val="001F01C1"/>
    <w:rsid w:val="001F1652"/>
    <w:rsid w:val="00200A91"/>
    <w:rsid w:val="00201E79"/>
    <w:rsid w:val="00202A58"/>
    <w:rsid w:val="00203656"/>
    <w:rsid w:val="00203BA1"/>
    <w:rsid w:val="00203D4B"/>
    <w:rsid w:val="002042BD"/>
    <w:rsid w:val="0021092C"/>
    <w:rsid w:val="00211087"/>
    <w:rsid w:val="00217EC6"/>
    <w:rsid w:val="002234D4"/>
    <w:rsid w:val="00223B26"/>
    <w:rsid w:val="002240CD"/>
    <w:rsid w:val="00224308"/>
    <w:rsid w:val="00225F30"/>
    <w:rsid w:val="002264DC"/>
    <w:rsid w:val="00230233"/>
    <w:rsid w:val="002302D6"/>
    <w:rsid w:val="0023345B"/>
    <w:rsid w:val="00234C4E"/>
    <w:rsid w:val="00235186"/>
    <w:rsid w:val="00242003"/>
    <w:rsid w:val="00242951"/>
    <w:rsid w:val="00243119"/>
    <w:rsid w:val="0024421F"/>
    <w:rsid w:val="00245248"/>
    <w:rsid w:val="00246131"/>
    <w:rsid w:val="00246327"/>
    <w:rsid w:val="00246AB9"/>
    <w:rsid w:val="00246C0C"/>
    <w:rsid w:val="00247106"/>
    <w:rsid w:val="0025081A"/>
    <w:rsid w:val="002513FA"/>
    <w:rsid w:val="002541D3"/>
    <w:rsid w:val="00254B3E"/>
    <w:rsid w:val="002557B1"/>
    <w:rsid w:val="00263236"/>
    <w:rsid w:val="00263470"/>
    <w:rsid w:val="00267760"/>
    <w:rsid w:val="00270E0A"/>
    <w:rsid w:val="00270EFC"/>
    <w:rsid w:val="00282F72"/>
    <w:rsid w:val="00284B94"/>
    <w:rsid w:val="00286F59"/>
    <w:rsid w:val="0028731F"/>
    <w:rsid w:val="00291288"/>
    <w:rsid w:val="0029264D"/>
    <w:rsid w:val="00293649"/>
    <w:rsid w:val="00293C95"/>
    <w:rsid w:val="002953D8"/>
    <w:rsid w:val="00295DC2"/>
    <w:rsid w:val="00296B74"/>
    <w:rsid w:val="00296CF3"/>
    <w:rsid w:val="002A042D"/>
    <w:rsid w:val="002A1B04"/>
    <w:rsid w:val="002A257D"/>
    <w:rsid w:val="002A3899"/>
    <w:rsid w:val="002A3B62"/>
    <w:rsid w:val="002A3C07"/>
    <w:rsid w:val="002A558A"/>
    <w:rsid w:val="002A6EE2"/>
    <w:rsid w:val="002A6EE8"/>
    <w:rsid w:val="002B079D"/>
    <w:rsid w:val="002B1BC8"/>
    <w:rsid w:val="002B2AE9"/>
    <w:rsid w:val="002B6D7E"/>
    <w:rsid w:val="002B76E7"/>
    <w:rsid w:val="002C0E6B"/>
    <w:rsid w:val="002C2380"/>
    <w:rsid w:val="002C3A02"/>
    <w:rsid w:val="002C495C"/>
    <w:rsid w:val="002C4B42"/>
    <w:rsid w:val="002C7BD8"/>
    <w:rsid w:val="002D004E"/>
    <w:rsid w:val="002D0B82"/>
    <w:rsid w:val="002D0D8F"/>
    <w:rsid w:val="002D185A"/>
    <w:rsid w:val="002D2213"/>
    <w:rsid w:val="002D5953"/>
    <w:rsid w:val="002D650D"/>
    <w:rsid w:val="002D681A"/>
    <w:rsid w:val="002D7679"/>
    <w:rsid w:val="002E42D9"/>
    <w:rsid w:val="002E5218"/>
    <w:rsid w:val="002E5690"/>
    <w:rsid w:val="002E6BA5"/>
    <w:rsid w:val="002F30D5"/>
    <w:rsid w:val="002F4AE3"/>
    <w:rsid w:val="002F6BDA"/>
    <w:rsid w:val="002F6FA1"/>
    <w:rsid w:val="002F765B"/>
    <w:rsid w:val="0030371B"/>
    <w:rsid w:val="0030464F"/>
    <w:rsid w:val="00305900"/>
    <w:rsid w:val="0030721F"/>
    <w:rsid w:val="00310118"/>
    <w:rsid w:val="00310DFE"/>
    <w:rsid w:val="00311BBB"/>
    <w:rsid w:val="003121CE"/>
    <w:rsid w:val="003126C7"/>
    <w:rsid w:val="00314205"/>
    <w:rsid w:val="003174D4"/>
    <w:rsid w:val="0031791C"/>
    <w:rsid w:val="0032063B"/>
    <w:rsid w:val="00325191"/>
    <w:rsid w:val="00325AF7"/>
    <w:rsid w:val="0032607C"/>
    <w:rsid w:val="00331897"/>
    <w:rsid w:val="0033390A"/>
    <w:rsid w:val="00333BCD"/>
    <w:rsid w:val="00333CE6"/>
    <w:rsid w:val="0033457B"/>
    <w:rsid w:val="00334ABB"/>
    <w:rsid w:val="0033501A"/>
    <w:rsid w:val="0033573B"/>
    <w:rsid w:val="0033604B"/>
    <w:rsid w:val="00341E1D"/>
    <w:rsid w:val="00342581"/>
    <w:rsid w:val="00342970"/>
    <w:rsid w:val="00342BBB"/>
    <w:rsid w:val="00342E9E"/>
    <w:rsid w:val="003430E5"/>
    <w:rsid w:val="00343379"/>
    <w:rsid w:val="003440E8"/>
    <w:rsid w:val="00345664"/>
    <w:rsid w:val="0034654D"/>
    <w:rsid w:val="00347702"/>
    <w:rsid w:val="00350054"/>
    <w:rsid w:val="00350C88"/>
    <w:rsid w:val="00361740"/>
    <w:rsid w:val="00361933"/>
    <w:rsid w:val="003628D3"/>
    <w:rsid w:val="003652C6"/>
    <w:rsid w:val="00372B10"/>
    <w:rsid w:val="00381B9E"/>
    <w:rsid w:val="003823DE"/>
    <w:rsid w:val="003837AF"/>
    <w:rsid w:val="00384A45"/>
    <w:rsid w:val="0038619E"/>
    <w:rsid w:val="003864DF"/>
    <w:rsid w:val="00391170"/>
    <w:rsid w:val="003919B7"/>
    <w:rsid w:val="0039225F"/>
    <w:rsid w:val="003963F3"/>
    <w:rsid w:val="003A0A83"/>
    <w:rsid w:val="003A2CA2"/>
    <w:rsid w:val="003A2E9C"/>
    <w:rsid w:val="003A5254"/>
    <w:rsid w:val="003A584E"/>
    <w:rsid w:val="003B09C7"/>
    <w:rsid w:val="003B0CC2"/>
    <w:rsid w:val="003B104C"/>
    <w:rsid w:val="003B1D63"/>
    <w:rsid w:val="003B4352"/>
    <w:rsid w:val="003C0800"/>
    <w:rsid w:val="003C1482"/>
    <w:rsid w:val="003C18F1"/>
    <w:rsid w:val="003C2B26"/>
    <w:rsid w:val="003C2B3E"/>
    <w:rsid w:val="003C4AB4"/>
    <w:rsid w:val="003C4FBE"/>
    <w:rsid w:val="003C5F09"/>
    <w:rsid w:val="003C5F50"/>
    <w:rsid w:val="003D01A1"/>
    <w:rsid w:val="003D2077"/>
    <w:rsid w:val="003D387F"/>
    <w:rsid w:val="003D3AF4"/>
    <w:rsid w:val="003D4567"/>
    <w:rsid w:val="003D4950"/>
    <w:rsid w:val="003D664A"/>
    <w:rsid w:val="003E1BC2"/>
    <w:rsid w:val="003E32E7"/>
    <w:rsid w:val="003E495E"/>
    <w:rsid w:val="003E4DC3"/>
    <w:rsid w:val="003E5AE3"/>
    <w:rsid w:val="003E6CAE"/>
    <w:rsid w:val="003F0B04"/>
    <w:rsid w:val="003F5DB6"/>
    <w:rsid w:val="003F7C82"/>
    <w:rsid w:val="004001D4"/>
    <w:rsid w:val="00401AC0"/>
    <w:rsid w:val="0040485D"/>
    <w:rsid w:val="00407757"/>
    <w:rsid w:val="004100FE"/>
    <w:rsid w:val="00410707"/>
    <w:rsid w:val="00410796"/>
    <w:rsid w:val="00411AE3"/>
    <w:rsid w:val="0041461F"/>
    <w:rsid w:val="0041555F"/>
    <w:rsid w:val="004210F8"/>
    <w:rsid w:val="004237F4"/>
    <w:rsid w:val="004242B3"/>
    <w:rsid w:val="0042566E"/>
    <w:rsid w:val="004259BA"/>
    <w:rsid w:val="004279A5"/>
    <w:rsid w:val="00431F49"/>
    <w:rsid w:val="00432831"/>
    <w:rsid w:val="00435785"/>
    <w:rsid w:val="0043651A"/>
    <w:rsid w:val="00436531"/>
    <w:rsid w:val="00436581"/>
    <w:rsid w:val="0044069C"/>
    <w:rsid w:val="004439DA"/>
    <w:rsid w:val="00446B12"/>
    <w:rsid w:val="004475B3"/>
    <w:rsid w:val="0045697A"/>
    <w:rsid w:val="0045701F"/>
    <w:rsid w:val="0046500E"/>
    <w:rsid w:val="004708A9"/>
    <w:rsid w:val="00472D03"/>
    <w:rsid w:val="00473AFE"/>
    <w:rsid w:val="004746BA"/>
    <w:rsid w:val="00483745"/>
    <w:rsid w:val="004844B8"/>
    <w:rsid w:val="004859F8"/>
    <w:rsid w:val="00487C12"/>
    <w:rsid w:val="004909A0"/>
    <w:rsid w:val="00490BE6"/>
    <w:rsid w:val="00490E57"/>
    <w:rsid w:val="0049270D"/>
    <w:rsid w:val="004935A8"/>
    <w:rsid w:val="00493F31"/>
    <w:rsid w:val="0049429A"/>
    <w:rsid w:val="004A1115"/>
    <w:rsid w:val="004A14CF"/>
    <w:rsid w:val="004A4351"/>
    <w:rsid w:val="004A56E7"/>
    <w:rsid w:val="004B0214"/>
    <w:rsid w:val="004B111D"/>
    <w:rsid w:val="004B239B"/>
    <w:rsid w:val="004B2CE1"/>
    <w:rsid w:val="004B37C3"/>
    <w:rsid w:val="004B3BF5"/>
    <w:rsid w:val="004B5942"/>
    <w:rsid w:val="004B7E52"/>
    <w:rsid w:val="004C0EC8"/>
    <w:rsid w:val="004C12EC"/>
    <w:rsid w:val="004C2822"/>
    <w:rsid w:val="004C4535"/>
    <w:rsid w:val="004C4A74"/>
    <w:rsid w:val="004C5EB4"/>
    <w:rsid w:val="004C618F"/>
    <w:rsid w:val="004D21D9"/>
    <w:rsid w:val="004D4AA8"/>
    <w:rsid w:val="004D664C"/>
    <w:rsid w:val="004D70D5"/>
    <w:rsid w:val="004D7B24"/>
    <w:rsid w:val="004E1228"/>
    <w:rsid w:val="004E335A"/>
    <w:rsid w:val="004E4B2C"/>
    <w:rsid w:val="004E4B7F"/>
    <w:rsid w:val="004E60AD"/>
    <w:rsid w:val="004E73A6"/>
    <w:rsid w:val="004F32F2"/>
    <w:rsid w:val="004F4636"/>
    <w:rsid w:val="004F4D7F"/>
    <w:rsid w:val="004F6423"/>
    <w:rsid w:val="004F714B"/>
    <w:rsid w:val="0050026E"/>
    <w:rsid w:val="00502E70"/>
    <w:rsid w:val="005030E9"/>
    <w:rsid w:val="00504B8B"/>
    <w:rsid w:val="00511200"/>
    <w:rsid w:val="00511437"/>
    <w:rsid w:val="00514B80"/>
    <w:rsid w:val="0051507C"/>
    <w:rsid w:val="00515E85"/>
    <w:rsid w:val="00517BE6"/>
    <w:rsid w:val="00522AAD"/>
    <w:rsid w:val="00522C51"/>
    <w:rsid w:val="00530DC2"/>
    <w:rsid w:val="00530E50"/>
    <w:rsid w:val="00531DE8"/>
    <w:rsid w:val="00532B16"/>
    <w:rsid w:val="00532D1C"/>
    <w:rsid w:val="005346F8"/>
    <w:rsid w:val="0053471C"/>
    <w:rsid w:val="00540A2C"/>
    <w:rsid w:val="0054301E"/>
    <w:rsid w:val="005432FD"/>
    <w:rsid w:val="00545508"/>
    <w:rsid w:val="00546121"/>
    <w:rsid w:val="00547B9D"/>
    <w:rsid w:val="00552095"/>
    <w:rsid w:val="00553214"/>
    <w:rsid w:val="0055447A"/>
    <w:rsid w:val="005614F3"/>
    <w:rsid w:val="00567446"/>
    <w:rsid w:val="00567E3E"/>
    <w:rsid w:val="00577C0A"/>
    <w:rsid w:val="00581782"/>
    <w:rsid w:val="00582127"/>
    <w:rsid w:val="00582B6B"/>
    <w:rsid w:val="0058431C"/>
    <w:rsid w:val="00585669"/>
    <w:rsid w:val="00585DFA"/>
    <w:rsid w:val="00590297"/>
    <w:rsid w:val="0059178F"/>
    <w:rsid w:val="00592FA9"/>
    <w:rsid w:val="00593FDF"/>
    <w:rsid w:val="00596C00"/>
    <w:rsid w:val="00597306"/>
    <w:rsid w:val="00597BE8"/>
    <w:rsid w:val="005A53C0"/>
    <w:rsid w:val="005A5473"/>
    <w:rsid w:val="005A5C34"/>
    <w:rsid w:val="005A709B"/>
    <w:rsid w:val="005B5C47"/>
    <w:rsid w:val="005B6D9D"/>
    <w:rsid w:val="005B754D"/>
    <w:rsid w:val="005C042A"/>
    <w:rsid w:val="005C4BBF"/>
    <w:rsid w:val="005C4E20"/>
    <w:rsid w:val="005C69A4"/>
    <w:rsid w:val="005C7387"/>
    <w:rsid w:val="005D078C"/>
    <w:rsid w:val="005D240F"/>
    <w:rsid w:val="005D331B"/>
    <w:rsid w:val="005D3E5A"/>
    <w:rsid w:val="005D4AA9"/>
    <w:rsid w:val="005D63B8"/>
    <w:rsid w:val="005E011C"/>
    <w:rsid w:val="005E580E"/>
    <w:rsid w:val="005F33F8"/>
    <w:rsid w:val="005F4697"/>
    <w:rsid w:val="005F6847"/>
    <w:rsid w:val="005F6C1E"/>
    <w:rsid w:val="00602375"/>
    <w:rsid w:val="00603D18"/>
    <w:rsid w:val="00604708"/>
    <w:rsid w:val="00606569"/>
    <w:rsid w:val="0061096D"/>
    <w:rsid w:val="00611003"/>
    <w:rsid w:val="00611671"/>
    <w:rsid w:val="006153CF"/>
    <w:rsid w:val="0061762B"/>
    <w:rsid w:val="006201F6"/>
    <w:rsid w:val="0062053B"/>
    <w:rsid w:val="00622B8B"/>
    <w:rsid w:val="00624C57"/>
    <w:rsid w:val="00625D53"/>
    <w:rsid w:val="0062600E"/>
    <w:rsid w:val="00626369"/>
    <w:rsid w:val="00626C1E"/>
    <w:rsid w:val="00630974"/>
    <w:rsid w:val="00631214"/>
    <w:rsid w:val="00632182"/>
    <w:rsid w:val="00632FE1"/>
    <w:rsid w:val="006331CF"/>
    <w:rsid w:val="00637E87"/>
    <w:rsid w:val="0064175D"/>
    <w:rsid w:val="00642586"/>
    <w:rsid w:val="006479BE"/>
    <w:rsid w:val="00651DA4"/>
    <w:rsid w:val="00652611"/>
    <w:rsid w:val="00652B0A"/>
    <w:rsid w:val="00653506"/>
    <w:rsid w:val="0065372A"/>
    <w:rsid w:val="00657A0D"/>
    <w:rsid w:val="00666E3B"/>
    <w:rsid w:val="0067254B"/>
    <w:rsid w:val="006754E8"/>
    <w:rsid w:val="006769FF"/>
    <w:rsid w:val="00676DBF"/>
    <w:rsid w:val="00676EE0"/>
    <w:rsid w:val="00680BCF"/>
    <w:rsid w:val="0068205D"/>
    <w:rsid w:val="006841C1"/>
    <w:rsid w:val="006843BC"/>
    <w:rsid w:val="006851AF"/>
    <w:rsid w:val="00690A1D"/>
    <w:rsid w:val="00697D28"/>
    <w:rsid w:val="006A103B"/>
    <w:rsid w:val="006A2F2E"/>
    <w:rsid w:val="006A3F23"/>
    <w:rsid w:val="006A4FED"/>
    <w:rsid w:val="006A55B3"/>
    <w:rsid w:val="006A6B1E"/>
    <w:rsid w:val="006A773F"/>
    <w:rsid w:val="006B2501"/>
    <w:rsid w:val="006B2E71"/>
    <w:rsid w:val="006B2F43"/>
    <w:rsid w:val="006B4BBF"/>
    <w:rsid w:val="006B5503"/>
    <w:rsid w:val="006B5649"/>
    <w:rsid w:val="006B65E0"/>
    <w:rsid w:val="006B7AED"/>
    <w:rsid w:val="006C1566"/>
    <w:rsid w:val="006C724B"/>
    <w:rsid w:val="006C7394"/>
    <w:rsid w:val="006C7902"/>
    <w:rsid w:val="006C7D4C"/>
    <w:rsid w:val="006D1BA3"/>
    <w:rsid w:val="006D48E5"/>
    <w:rsid w:val="006D511C"/>
    <w:rsid w:val="006D73BF"/>
    <w:rsid w:val="006E2B36"/>
    <w:rsid w:val="006E3DDA"/>
    <w:rsid w:val="006E41E3"/>
    <w:rsid w:val="006E4AF9"/>
    <w:rsid w:val="006E6E4B"/>
    <w:rsid w:val="006E75C8"/>
    <w:rsid w:val="006F2EBE"/>
    <w:rsid w:val="006F5132"/>
    <w:rsid w:val="00702AEB"/>
    <w:rsid w:val="007040E7"/>
    <w:rsid w:val="007077D0"/>
    <w:rsid w:val="00707B43"/>
    <w:rsid w:val="007147AD"/>
    <w:rsid w:val="00716C61"/>
    <w:rsid w:val="00716D3C"/>
    <w:rsid w:val="00722361"/>
    <w:rsid w:val="007239BB"/>
    <w:rsid w:val="007257F3"/>
    <w:rsid w:val="007305C6"/>
    <w:rsid w:val="00730913"/>
    <w:rsid w:val="0073180F"/>
    <w:rsid w:val="0073192B"/>
    <w:rsid w:val="0073325A"/>
    <w:rsid w:val="0073542E"/>
    <w:rsid w:val="00737960"/>
    <w:rsid w:val="007420EE"/>
    <w:rsid w:val="007430A0"/>
    <w:rsid w:val="007430CA"/>
    <w:rsid w:val="00747153"/>
    <w:rsid w:val="0075029C"/>
    <w:rsid w:val="0075035D"/>
    <w:rsid w:val="00750B09"/>
    <w:rsid w:val="007536A8"/>
    <w:rsid w:val="00754C50"/>
    <w:rsid w:val="00760956"/>
    <w:rsid w:val="0076105A"/>
    <w:rsid w:val="00762AFF"/>
    <w:rsid w:val="007630E4"/>
    <w:rsid w:val="007631F3"/>
    <w:rsid w:val="0076482E"/>
    <w:rsid w:val="00764D65"/>
    <w:rsid w:val="00764FF8"/>
    <w:rsid w:val="00771D6F"/>
    <w:rsid w:val="00772655"/>
    <w:rsid w:val="00774659"/>
    <w:rsid w:val="0077498B"/>
    <w:rsid w:val="007802DE"/>
    <w:rsid w:val="00780392"/>
    <w:rsid w:val="00780755"/>
    <w:rsid w:val="00780C62"/>
    <w:rsid w:val="00781AD9"/>
    <w:rsid w:val="00782085"/>
    <w:rsid w:val="007858DE"/>
    <w:rsid w:val="007860F3"/>
    <w:rsid w:val="00787226"/>
    <w:rsid w:val="00791018"/>
    <w:rsid w:val="007914DC"/>
    <w:rsid w:val="00791DDA"/>
    <w:rsid w:val="00792391"/>
    <w:rsid w:val="007935A5"/>
    <w:rsid w:val="00795FC3"/>
    <w:rsid w:val="007962DA"/>
    <w:rsid w:val="007A28F1"/>
    <w:rsid w:val="007A3062"/>
    <w:rsid w:val="007A5C7A"/>
    <w:rsid w:val="007B2402"/>
    <w:rsid w:val="007B4009"/>
    <w:rsid w:val="007B5D9F"/>
    <w:rsid w:val="007B63A3"/>
    <w:rsid w:val="007C0631"/>
    <w:rsid w:val="007C0D5F"/>
    <w:rsid w:val="007C0DB2"/>
    <w:rsid w:val="007C0FFE"/>
    <w:rsid w:val="007C1655"/>
    <w:rsid w:val="007C3D49"/>
    <w:rsid w:val="007C3DFB"/>
    <w:rsid w:val="007C3FE7"/>
    <w:rsid w:val="007C538A"/>
    <w:rsid w:val="007C798F"/>
    <w:rsid w:val="007C7E27"/>
    <w:rsid w:val="007D079D"/>
    <w:rsid w:val="007D161C"/>
    <w:rsid w:val="007D4DF5"/>
    <w:rsid w:val="007D6414"/>
    <w:rsid w:val="007D6DEA"/>
    <w:rsid w:val="007E1038"/>
    <w:rsid w:val="007E1780"/>
    <w:rsid w:val="007E2853"/>
    <w:rsid w:val="007E691A"/>
    <w:rsid w:val="007E6E0F"/>
    <w:rsid w:val="007E79F7"/>
    <w:rsid w:val="007F0BCB"/>
    <w:rsid w:val="007F2733"/>
    <w:rsid w:val="007F6187"/>
    <w:rsid w:val="00801DCC"/>
    <w:rsid w:val="008026FB"/>
    <w:rsid w:val="008042AB"/>
    <w:rsid w:val="008061B5"/>
    <w:rsid w:val="00806701"/>
    <w:rsid w:val="00806D43"/>
    <w:rsid w:val="00807714"/>
    <w:rsid w:val="00813C32"/>
    <w:rsid w:val="00822EE7"/>
    <w:rsid w:val="0082328E"/>
    <w:rsid w:val="0082349B"/>
    <w:rsid w:val="00824606"/>
    <w:rsid w:val="008303DB"/>
    <w:rsid w:val="008319C6"/>
    <w:rsid w:val="0083457D"/>
    <w:rsid w:val="00840991"/>
    <w:rsid w:val="00841DB4"/>
    <w:rsid w:val="00845F61"/>
    <w:rsid w:val="0084631E"/>
    <w:rsid w:val="00846712"/>
    <w:rsid w:val="008524AD"/>
    <w:rsid w:val="00853817"/>
    <w:rsid w:val="008545AE"/>
    <w:rsid w:val="00857C4C"/>
    <w:rsid w:val="0086009A"/>
    <w:rsid w:val="00864BB6"/>
    <w:rsid w:val="00866641"/>
    <w:rsid w:val="008673D3"/>
    <w:rsid w:val="00871DA4"/>
    <w:rsid w:val="00873D65"/>
    <w:rsid w:val="00880F0E"/>
    <w:rsid w:val="0088200A"/>
    <w:rsid w:val="00882CB5"/>
    <w:rsid w:val="0088318B"/>
    <w:rsid w:val="00890210"/>
    <w:rsid w:val="00891F66"/>
    <w:rsid w:val="00892F6F"/>
    <w:rsid w:val="008930C7"/>
    <w:rsid w:val="0089459F"/>
    <w:rsid w:val="0089460C"/>
    <w:rsid w:val="00895DDB"/>
    <w:rsid w:val="008A0054"/>
    <w:rsid w:val="008A5137"/>
    <w:rsid w:val="008A77AD"/>
    <w:rsid w:val="008B079D"/>
    <w:rsid w:val="008B09FE"/>
    <w:rsid w:val="008B5068"/>
    <w:rsid w:val="008B5B7F"/>
    <w:rsid w:val="008C2FFB"/>
    <w:rsid w:val="008C6B72"/>
    <w:rsid w:val="008D166F"/>
    <w:rsid w:val="008D1AC0"/>
    <w:rsid w:val="008D2744"/>
    <w:rsid w:val="008D29BD"/>
    <w:rsid w:val="008D43D8"/>
    <w:rsid w:val="008D57CC"/>
    <w:rsid w:val="008D5CD7"/>
    <w:rsid w:val="008D7370"/>
    <w:rsid w:val="008E2F16"/>
    <w:rsid w:val="008E3C2D"/>
    <w:rsid w:val="008E463C"/>
    <w:rsid w:val="008E4D64"/>
    <w:rsid w:val="008E6767"/>
    <w:rsid w:val="008F4C22"/>
    <w:rsid w:val="008F673F"/>
    <w:rsid w:val="009103EF"/>
    <w:rsid w:val="00910CD6"/>
    <w:rsid w:val="009111B2"/>
    <w:rsid w:val="009135A5"/>
    <w:rsid w:val="009141CB"/>
    <w:rsid w:val="00915DD0"/>
    <w:rsid w:val="0091608F"/>
    <w:rsid w:val="00917BAE"/>
    <w:rsid w:val="00920C8D"/>
    <w:rsid w:val="00921997"/>
    <w:rsid w:val="009239F6"/>
    <w:rsid w:val="0092656F"/>
    <w:rsid w:val="00930374"/>
    <w:rsid w:val="0093252A"/>
    <w:rsid w:val="009340C0"/>
    <w:rsid w:val="00934E44"/>
    <w:rsid w:val="00941503"/>
    <w:rsid w:val="00943AA0"/>
    <w:rsid w:val="00943FC9"/>
    <w:rsid w:val="009446C7"/>
    <w:rsid w:val="00945B6E"/>
    <w:rsid w:val="0095189E"/>
    <w:rsid w:val="009524EF"/>
    <w:rsid w:val="0095414E"/>
    <w:rsid w:val="0095560B"/>
    <w:rsid w:val="009568A7"/>
    <w:rsid w:val="00956B21"/>
    <w:rsid w:val="0095745D"/>
    <w:rsid w:val="00970215"/>
    <w:rsid w:val="0097142F"/>
    <w:rsid w:val="00971ADA"/>
    <w:rsid w:val="00972147"/>
    <w:rsid w:val="00972576"/>
    <w:rsid w:val="0097293A"/>
    <w:rsid w:val="0097319B"/>
    <w:rsid w:val="00976DD1"/>
    <w:rsid w:val="00977A1E"/>
    <w:rsid w:val="00984928"/>
    <w:rsid w:val="00987EDB"/>
    <w:rsid w:val="009914FD"/>
    <w:rsid w:val="00991EE6"/>
    <w:rsid w:val="00992FB6"/>
    <w:rsid w:val="00996175"/>
    <w:rsid w:val="009A0351"/>
    <w:rsid w:val="009A041C"/>
    <w:rsid w:val="009A0FCE"/>
    <w:rsid w:val="009A2FD8"/>
    <w:rsid w:val="009A48EB"/>
    <w:rsid w:val="009A4A2B"/>
    <w:rsid w:val="009A5409"/>
    <w:rsid w:val="009A744A"/>
    <w:rsid w:val="009B035A"/>
    <w:rsid w:val="009B1A8C"/>
    <w:rsid w:val="009B270D"/>
    <w:rsid w:val="009C0483"/>
    <w:rsid w:val="009C199B"/>
    <w:rsid w:val="009C1BB2"/>
    <w:rsid w:val="009C326A"/>
    <w:rsid w:val="009C6A99"/>
    <w:rsid w:val="009C6F22"/>
    <w:rsid w:val="009D045A"/>
    <w:rsid w:val="009D48B5"/>
    <w:rsid w:val="009E6983"/>
    <w:rsid w:val="009F1618"/>
    <w:rsid w:val="009F3105"/>
    <w:rsid w:val="009F5883"/>
    <w:rsid w:val="009F5D67"/>
    <w:rsid w:val="00A04D1E"/>
    <w:rsid w:val="00A063E5"/>
    <w:rsid w:val="00A066FF"/>
    <w:rsid w:val="00A10E34"/>
    <w:rsid w:val="00A10F78"/>
    <w:rsid w:val="00A1185B"/>
    <w:rsid w:val="00A1379A"/>
    <w:rsid w:val="00A13FFC"/>
    <w:rsid w:val="00A14238"/>
    <w:rsid w:val="00A144A6"/>
    <w:rsid w:val="00A14F7F"/>
    <w:rsid w:val="00A21BD0"/>
    <w:rsid w:val="00A23BA0"/>
    <w:rsid w:val="00A23F76"/>
    <w:rsid w:val="00A25C92"/>
    <w:rsid w:val="00A25F2B"/>
    <w:rsid w:val="00A26A55"/>
    <w:rsid w:val="00A26D1E"/>
    <w:rsid w:val="00A275F9"/>
    <w:rsid w:val="00A27C61"/>
    <w:rsid w:val="00A31471"/>
    <w:rsid w:val="00A336FE"/>
    <w:rsid w:val="00A34123"/>
    <w:rsid w:val="00A3426A"/>
    <w:rsid w:val="00A35289"/>
    <w:rsid w:val="00A361E7"/>
    <w:rsid w:val="00A36210"/>
    <w:rsid w:val="00A373F9"/>
    <w:rsid w:val="00A4085C"/>
    <w:rsid w:val="00A411AE"/>
    <w:rsid w:val="00A416A7"/>
    <w:rsid w:val="00A42E6D"/>
    <w:rsid w:val="00A45E72"/>
    <w:rsid w:val="00A46CF9"/>
    <w:rsid w:val="00A47C67"/>
    <w:rsid w:val="00A506E3"/>
    <w:rsid w:val="00A52746"/>
    <w:rsid w:val="00A53556"/>
    <w:rsid w:val="00A53F6E"/>
    <w:rsid w:val="00A646EA"/>
    <w:rsid w:val="00A65A0B"/>
    <w:rsid w:val="00A67851"/>
    <w:rsid w:val="00A70501"/>
    <w:rsid w:val="00A70D6C"/>
    <w:rsid w:val="00A73576"/>
    <w:rsid w:val="00A754BC"/>
    <w:rsid w:val="00A75692"/>
    <w:rsid w:val="00A774EE"/>
    <w:rsid w:val="00A81271"/>
    <w:rsid w:val="00A852E7"/>
    <w:rsid w:val="00A858DF"/>
    <w:rsid w:val="00A90CD8"/>
    <w:rsid w:val="00A95252"/>
    <w:rsid w:val="00A96AD5"/>
    <w:rsid w:val="00A9791B"/>
    <w:rsid w:val="00AA394B"/>
    <w:rsid w:val="00AA48B4"/>
    <w:rsid w:val="00AA719F"/>
    <w:rsid w:val="00AB2202"/>
    <w:rsid w:val="00AC2B9D"/>
    <w:rsid w:val="00AC2F03"/>
    <w:rsid w:val="00AC3068"/>
    <w:rsid w:val="00AC502E"/>
    <w:rsid w:val="00AC6B56"/>
    <w:rsid w:val="00AC71C4"/>
    <w:rsid w:val="00AD16B1"/>
    <w:rsid w:val="00AD1BA8"/>
    <w:rsid w:val="00AD5F66"/>
    <w:rsid w:val="00AE091E"/>
    <w:rsid w:val="00AE0C85"/>
    <w:rsid w:val="00AE2769"/>
    <w:rsid w:val="00AE3791"/>
    <w:rsid w:val="00AE5BFA"/>
    <w:rsid w:val="00AE7F1E"/>
    <w:rsid w:val="00AF0C73"/>
    <w:rsid w:val="00AF3228"/>
    <w:rsid w:val="00AF3907"/>
    <w:rsid w:val="00AF5D6D"/>
    <w:rsid w:val="00AF6940"/>
    <w:rsid w:val="00AF6AD9"/>
    <w:rsid w:val="00AF6F14"/>
    <w:rsid w:val="00B04FE0"/>
    <w:rsid w:val="00B104BB"/>
    <w:rsid w:val="00B10E34"/>
    <w:rsid w:val="00B113ED"/>
    <w:rsid w:val="00B11711"/>
    <w:rsid w:val="00B11BA4"/>
    <w:rsid w:val="00B11CB4"/>
    <w:rsid w:val="00B13D75"/>
    <w:rsid w:val="00B1749D"/>
    <w:rsid w:val="00B24374"/>
    <w:rsid w:val="00B25294"/>
    <w:rsid w:val="00B27930"/>
    <w:rsid w:val="00B27C9F"/>
    <w:rsid w:val="00B30C7B"/>
    <w:rsid w:val="00B32A06"/>
    <w:rsid w:val="00B33B55"/>
    <w:rsid w:val="00B35D9B"/>
    <w:rsid w:val="00B42E60"/>
    <w:rsid w:val="00B438AD"/>
    <w:rsid w:val="00B43B71"/>
    <w:rsid w:val="00B45696"/>
    <w:rsid w:val="00B45974"/>
    <w:rsid w:val="00B4766B"/>
    <w:rsid w:val="00B50049"/>
    <w:rsid w:val="00B50C81"/>
    <w:rsid w:val="00B51900"/>
    <w:rsid w:val="00B51913"/>
    <w:rsid w:val="00B547CE"/>
    <w:rsid w:val="00B5617E"/>
    <w:rsid w:val="00B56578"/>
    <w:rsid w:val="00B57C38"/>
    <w:rsid w:val="00B6538A"/>
    <w:rsid w:val="00B67E90"/>
    <w:rsid w:val="00B701D1"/>
    <w:rsid w:val="00B7028A"/>
    <w:rsid w:val="00B741C1"/>
    <w:rsid w:val="00B74C1E"/>
    <w:rsid w:val="00B752F5"/>
    <w:rsid w:val="00B75BB3"/>
    <w:rsid w:val="00B77A42"/>
    <w:rsid w:val="00B85837"/>
    <w:rsid w:val="00B94BC3"/>
    <w:rsid w:val="00B95B11"/>
    <w:rsid w:val="00B96B24"/>
    <w:rsid w:val="00BA075A"/>
    <w:rsid w:val="00BA18E0"/>
    <w:rsid w:val="00BA2071"/>
    <w:rsid w:val="00BA2F00"/>
    <w:rsid w:val="00BA3E13"/>
    <w:rsid w:val="00BA4D0E"/>
    <w:rsid w:val="00BA4FA6"/>
    <w:rsid w:val="00BA5FD4"/>
    <w:rsid w:val="00BA6DA2"/>
    <w:rsid w:val="00BB1AAA"/>
    <w:rsid w:val="00BB36A5"/>
    <w:rsid w:val="00BB3C05"/>
    <w:rsid w:val="00BB510A"/>
    <w:rsid w:val="00BB6E57"/>
    <w:rsid w:val="00BC02ED"/>
    <w:rsid w:val="00BC0E42"/>
    <w:rsid w:val="00BC12C5"/>
    <w:rsid w:val="00BC1CF4"/>
    <w:rsid w:val="00BC204C"/>
    <w:rsid w:val="00BC228C"/>
    <w:rsid w:val="00BC3302"/>
    <w:rsid w:val="00BC6CAB"/>
    <w:rsid w:val="00BC721C"/>
    <w:rsid w:val="00BD1B96"/>
    <w:rsid w:val="00BD2ED7"/>
    <w:rsid w:val="00BE012E"/>
    <w:rsid w:val="00BE1D3E"/>
    <w:rsid w:val="00BE44B7"/>
    <w:rsid w:val="00BE6308"/>
    <w:rsid w:val="00BE7240"/>
    <w:rsid w:val="00BF2DC8"/>
    <w:rsid w:val="00BF503B"/>
    <w:rsid w:val="00BF7FEC"/>
    <w:rsid w:val="00C00F89"/>
    <w:rsid w:val="00C041DE"/>
    <w:rsid w:val="00C05E4C"/>
    <w:rsid w:val="00C07387"/>
    <w:rsid w:val="00C1088D"/>
    <w:rsid w:val="00C1650A"/>
    <w:rsid w:val="00C16601"/>
    <w:rsid w:val="00C17642"/>
    <w:rsid w:val="00C24B6A"/>
    <w:rsid w:val="00C26E86"/>
    <w:rsid w:val="00C26EEE"/>
    <w:rsid w:val="00C3221B"/>
    <w:rsid w:val="00C3439C"/>
    <w:rsid w:val="00C349DA"/>
    <w:rsid w:val="00C35A76"/>
    <w:rsid w:val="00C37E82"/>
    <w:rsid w:val="00C40D1D"/>
    <w:rsid w:val="00C40ED2"/>
    <w:rsid w:val="00C4218E"/>
    <w:rsid w:val="00C4224B"/>
    <w:rsid w:val="00C42CD6"/>
    <w:rsid w:val="00C45670"/>
    <w:rsid w:val="00C4641B"/>
    <w:rsid w:val="00C46697"/>
    <w:rsid w:val="00C46D59"/>
    <w:rsid w:val="00C525DD"/>
    <w:rsid w:val="00C539FD"/>
    <w:rsid w:val="00C54B93"/>
    <w:rsid w:val="00C56AB3"/>
    <w:rsid w:val="00C57D60"/>
    <w:rsid w:val="00C62F5B"/>
    <w:rsid w:val="00C649DB"/>
    <w:rsid w:val="00C64BC5"/>
    <w:rsid w:val="00C64C0C"/>
    <w:rsid w:val="00C65A51"/>
    <w:rsid w:val="00C73526"/>
    <w:rsid w:val="00C74294"/>
    <w:rsid w:val="00C800FA"/>
    <w:rsid w:val="00C80169"/>
    <w:rsid w:val="00C822E0"/>
    <w:rsid w:val="00C8292C"/>
    <w:rsid w:val="00C876BB"/>
    <w:rsid w:val="00C91774"/>
    <w:rsid w:val="00C917D7"/>
    <w:rsid w:val="00C920CC"/>
    <w:rsid w:val="00C9211C"/>
    <w:rsid w:val="00C9324D"/>
    <w:rsid w:val="00C93D20"/>
    <w:rsid w:val="00C93D50"/>
    <w:rsid w:val="00C94C4C"/>
    <w:rsid w:val="00C95D19"/>
    <w:rsid w:val="00C96264"/>
    <w:rsid w:val="00C9647E"/>
    <w:rsid w:val="00CA0C7C"/>
    <w:rsid w:val="00CA52A0"/>
    <w:rsid w:val="00CA69DF"/>
    <w:rsid w:val="00CB05F4"/>
    <w:rsid w:val="00CB3FBA"/>
    <w:rsid w:val="00CC1758"/>
    <w:rsid w:val="00CC2208"/>
    <w:rsid w:val="00CC6621"/>
    <w:rsid w:val="00CC6816"/>
    <w:rsid w:val="00CC770D"/>
    <w:rsid w:val="00CD1839"/>
    <w:rsid w:val="00CD1B6C"/>
    <w:rsid w:val="00CE1CB9"/>
    <w:rsid w:val="00CE1E07"/>
    <w:rsid w:val="00CE335A"/>
    <w:rsid w:val="00CE5D41"/>
    <w:rsid w:val="00CE70EA"/>
    <w:rsid w:val="00CF17E0"/>
    <w:rsid w:val="00CF1CAE"/>
    <w:rsid w:val="00CF25D8"/>
    <w:rsid w:val="00CF4666"/>
    <w:rsid w:val="00CF612E"/>
    <w:rsid w:val="00D011BB"/>
    <w:rsid w:val="00D026DC"/>
    <w:rsid w:val="00D02D75"/>
    <w:rsid w:val="00D05767"/>
    <w:rsid w:val="00D079ED"/>
    <w:rsid w:val="00D10D94"/>
    <w:rsid w:val="00D1414E"/>
    <w:rsid w:val="00D2067D"/>
    <w:rsid w:val="00D22D5E"/>
    <w:rsid w:val="00D22FDE"/>
    <w:rsid w:val="00D27FF2"/>
    <w:rsid w:val="00D3098C"/>
    <w:rsid w:val="00D3132F"/>
    <w:rsid w:val="00D3170F"/>
    <w:rsid w:val="00D3321F"/>
    <w:rsid w:val="00D347F9"/>
    <w:rsid w:val="00D35278"/>
    <w:rsid w:val="00D35392"/>
    <w:rsid w:val="00D35AEE"/>
    <w:rsid w:val="00D375FA"/>
    <w:rsid w:val="00D40B69"/>
    <w:rsid w:val="00D40E89"/>
    <w:rsid w:val="00D41391"/>
    <w:rsid w:val="00D43467"/>
    <w:rsid w:val="00D43D07"/>
    <w:rsid w:val="00D46B5B"/>
    <w:rsid w:val="00D510AA"/>
    <w:rsid w:val="00D526A7"/>
    <w:rsid w:val="00D54157"/>
    <w:rsid w:val="00D54E64"/>
    <w:rsid w:val="00D5554F"/>
    <w:rsid w:val="00D55FA2"/>
    <w:rsid w:val="00D5654E"/>
    <w:rsid w:val="00D57B81"/>
    <w:rsid w:val="00D60BC4"/>
    <w:rsid w:val="00D636E7"/>
    <w:rsid w:val="00D671B9"/>
    <w:rsid w:val="00D710FF"/>
    <w:rsid w:val="00D73F03"/>
    <w:rsid w:val="00D75022"/>
    <w:rsid w:val="00D75135"/>
    <w:rsid w:val="00D762C9"/>
    <w:rsid w:val="00D76996"/>
    <w:rsid w:val="00D771FB"/>
    <w:rsid w:val="00D80AAB"/>
    <w:rsid w:val="00D80EB7"/>
    <w:rsid w:val="00D81D9D"/>
    <w:rsid w:val="00D832AA"/>
    <w:rsid w:val="00D855C2"/>
    <w:rsid w:val="00D85B3B"/>
    <w:rsid w:val="00D85CCE"/>
    <w:rsid w:val="00D86C25"/>
    <w:rsid w:val="00D93869"/>
    <w:rsid w:val="00D9458E"/>
    <w:rsid w:val="00D9570C"/>
    <w:rsid w:val="00D95C28"/>
    <w:rsid w:val="00D96402"/>
    <w:rsid w:val="00D970D5"/>
    <w:rsid w:val="00D975DF"/>
    <w:rsid w:val="00D97DFE"/>
    <w:rsid w:val="00DA0D2F"/>
    <w:rsid w:val="00DA1860"/>
    <w:rsid w:val="00DA7CAB"/>
    <w:rsid w:val="00DB05AE"/>
    <w:rsid w:val="00DB0B8A"/>
    <w:rsid w:val="00DB12EF"/>
    <w:rsid w:val="00DB13B4"/>
    <w:rsid w:val="00DC1D4B"/>
    <w:rsid w:val="00DD098B"/>
    <w:rsid w:val="00DD127A"/>
    <w:rsid w:val="00DD1C97"/>
    <w:rsid w:val="00DD607D"/>
    <w:rsid w:val="00DD7389"/>
    <w:rsid w:val="00DE0051"/>
    <w:rsid w:val="00DE0244"/>
    <w:rsid w:val="00DE06EB"/>
    <w:rsid w:val="00DE2331"/>
    <w:rsid w:val="00DE37E7"/>
    <w:rsid w:val="00DE3A54"/>
    <w:rsid w:val="00DE4B30"/>
    <w:rsid w:val="00DE5598"/>
    <w:rsid w:val="00DE652C"/>
    <w:rsid w:val="00DE6E25"/>
    <w:rsid w:val="00DE6ECE"/>
    <w:rsid w:val="00DF08C6"/>
    <w:rsid w:val="00DF0AB9"/>
    <w:rsid w:val="00DF0CBA"/>
    <w:rsid w:val="00DF3551"/>
    <w:rsid w:val="00DF39B0"/>
    <w:rsid w:val="00DF53B1"/>
    <w:rsid w:val="00DF659B"/>
    <w:rsid w:val="00E01FA0"/>
    <w:rsid w:val="00E026BA"/>
    <w:rsid w:val="00E04130"/>
    <w:rsid w:val="00E12C8F"/>
    <w:rsid w:val="00E15463"/>
    <w:rsid w:val="00E1739A"/>
    <w:rsid w:val="00E20A44"/>
    <w:rsid w:val="00E211D1"/>
    <w:rsid w:val="00E219E4"/>
    <w:rsid w:val="00E26EA6"/>
    <w:rsid w:val="00E30B97"/>
    <w:rsid w:val="00E32334"/>
    <w:rsid w:val="00E3274A"/>
    <w:rsid w:val="00E332FB"/>
    <w:rsid w:val="00E342C8"/>
    <w:rsid w:val="00E35928"/>
    <w:rsid w:val="00E36D06"/>
    <w:rsid w:val="00E405A1"/>
    <w:rsid w:val="00E434CB"/>
    <w:rsid w:val="00E43839"/>
    <w:rsid w:val="00E45149"/>
    <w:rsid w:val="00E46CC1"/>
    <w:rsid w:val="00E511E6"/>
    <w:rsid w:val="00E529BA"/>
    <w:rsid w:val="00E53DE6"/>
    <w:rsid w:val="00E6003D"/>
    <w:rsid w:val="00E6358D"/>
    <w:rsid w:val="00E65F36"/>
    <w:rsid w:val="00E66C28"/>
    <w:rsid w:val="00E70A8F"/>
    <w:rsid w:val="00E71A15"/>
    <w:rsid w:val="00E72928"/>
    <w:rsid w:val="00E72D6D"/>
    <w:rsid w:val="00E73F18"/>
    <w:rsid w:val="00E804CF"/>
    <w:rsid w:val="00E81678"/>
    <w:rsid w:val="00E83E8A"/>
    <w:rsid w:val="00E86516"/>
    <w:rsid w:val="00E91CFB"/>
    <w:rsid w:val="00E9237A"/>
    <w:rsid w:val="00E9271F"/>
    <w:rsid w:val="00E942C0"/>
    <w:rsid w:val="00E95C1E"/>
    <w:rsid w:val="00E96AAE"/>
    <w:rsid w:val="00E96E42"/>
    <w:rsid w:val="00E974E2"/>
    <w:rsid w:val="00EA095B"/>
    <w:rsid w:val="00EA1F7F"/>
    <w:rsid w:val="00EA5B37"/>
    <w:rsid w:val="00EA66AD"/>
    <w:rsid w:val="00EB2938"/>
    <w:rsid w:val="00EB2B4A"/>
    <w:rsid w:val="00EB54D2"/>
    <w:rsid w:val="00EB6744"/>
    <w:rsid w:val="00EB6E35"/>
    <w:rsid w:val="00EC0C5A"/>
    <w:rsid w:val="00EC0F0A"/>
    <w:rsid w:val="00EC353D"/>
    <w:rsid w:val="00EC3B9E"/>
    <w:rsid w:val="00EC584D"/>
    <w:rsid w:val="00ED2F5C"/>
    <w:rsid w:val="00ED336F"/>
    <w:rsid w:val="00ED373A"/>
    <w:rsid w:val="00ED3B2B"/>
    <w:rsid w:val="00ED4D70"/>
    <w:rsid w:val="00ED5272"/>
    <w:rsid w:val="00ED58B2"/>
    <w:rsid w:val="00ED7E3B"/>
    <w:rsid w:val="00EE1115"/>
    <w:rsid w:val="00EE6254"/>
    <w:rsid w:val="00EE74EB"/>
    <w:rsid w:val="00EF0757"/>
    <w:rsid w:val="00EF35DD"/>
    <w:rsid w:val="00EF3742"/>
    <w:rsid w:val="00EF3C3E"/>
    <w:rsid w:val="00EF3FEB"/>
    <w:rsid w:val="00EF6DC0"/>
    <w:rsid w:val="00F00BBD"/>
    <w:rsid w:val="00F11410"/>
    <w:rsid w:val="00F13523"/>
    <w:rsid w:val="00F149D3"/>
    <w:rsid w:val="00F15877"/>
    <w:rsid w:val="00F17FD8"/>
    <w:rsid w:val="00F2053B"/>
    <w:rsid w:val="00F23C94"/>
    <w:rsid w:val="00F258C5"/>
    <w:rsid w:val="00F25D77"/>
    <w:rsid w:val="00F30097"/>
    <w:rsid w:val="00F315E2"/>
    <w:rsid w:val="00F33F00"/>
    <w:rsid w:val="00F41138"/>
    <w:rsid w:val="00F413CE"/>
    <w:rsid w:val="00F420FF"/>
    <w:rsid w:val="00F438CD"/>
    <w:rsid w:val="00F43AB7"/>
    <w:rsid w:val="00F43AB8"/>
    <w:rsid w:val="00F45611"/>
    <w:rsid w:val="00F5318E"/>
    <w:rsid w:val="00F533E5"/>
    <w:rsid w:val="00F53DD4"/>
    <w:rsid w:val="00F54322"/>
    <w:rsid w:val="00F550DD"/>
    <w:rsid w:val="00F5762A"/>
    <w:rsid w:val="00F639E5"/>
    <w:rsid w:val="00F65828"/>
    <w:rsid w:val="00F6707E"/>
    <w:rsid w:val="00F67991"/>
    <w:rsid w:val="00F70357"/>
    <w:rsid w:val="00F70CF4"/>
    <w:rsid w:val="00F7286D"/>
    <w:rsid w:val="00F72DB1"/>
    <w:rsid w:val="00F72EC8"/>
    <w:rsid w:val="00F73D6D"/>
    <w:rsid w:val="00F74A70"/>
    <w:rsid w:val="00F86C92"/>
    <w:rsid w:val="00F926B8"/>
    <w:rsid w:val="00F926BB"/>
    <w:rsid w:val="00F95E5F"/>
    <w:rsid w:val="00F96A95"/>
    <w:rsid w:val="00FA3D38"/>
    <w:rsid w:val="00FA78B4"/>
    <w:rsid w:val="00FA7973"/>
    <w:rsid w:val="00FA7C58"/>
    <w:rsid w:val="00FB0D60"/>
    <w:rsid w:val="00FB174D"/>
    <w:rsid w:val="00FB297B"/>
    <w:rsid w:val="00FB2E25"/>
    <w:rsid w:val="00FC2B4E"/>
    <w:rsid w:val="00FC5567"/>
    <w:rsid w:val="00FC62A4"/>
    <w:rsid w:val="00FD0B8B"/>
    <w:rsid w:val="00FD16B0"/>
    <w:rsid w:val="00FD4E79"/>
    <w:rsid w:val="00FD52A2"/>
    <w:rsid w:val="00FD7099"/>
    <w:rsid w:val="00FE0078"/>
    <w:rsid w:val="00FE23D5"/>
    <w:rsid w:val="00FE26FC"/>
    <w:rsid w:val="00FE4383"/>
    <w:rsid w:val="00FE7159"/>
    <w:rsid w:val="00FF2E1E"/>
    <w:rsid w:val="00FF3DE5"/>
    <w:rsid w:val="00FF5EAC"/>
    <w:rsid w:val="00FF7C15"/>
    <w:rsid w:val="4093036A"/>
    <w:rsid w:val="4F9E8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D7EC"/>
  <w15:chartTrackingRefBased/>
  <w15:docId w15:val="{CD9DCA97-8B19-674F-B6A0-B22B259F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0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2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C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E58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24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11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C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1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1170"/>
    <w:rPr>
      <w:rFonts w:ascii="Times New Roman" w:hAnsi="Times New Roman"/>
      <w:sz w:val="18"/>
      <w:szCs w:val="18"/>
    </w:rPr>
  </w:style>
  <w:style w:type="character" w:customStyle="1" w:styleId="Heading1Char">
    <w:name w:val="Heading 1 Char"/>
    <w:basedOn w:val="DefaultParagraphFont"/>
    <w:link w:val="Heading1"/>
    <w:uiPriority w:val="9"/>
    <w:rsid w:val="0019007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F5D6D"/>
    <w:pPr>
      <w:tabs>
        <w:tab w:val="center" w:pos="4680"/>
        <w:tab w:val="right" w:pos="9360"/>
      </w:tabs>
    </w:pPr>
  </w:style>
  <w:style w:type="character" w:customStyle="1" w:styleId="FooterChar">
    <w:name w:val="Footer Char"/>
    <w:basedOn w:val="DefaultParagraphFont"/>
    <w:link w:val="Footer"/>
    <w:uiPriority w:val="99"/>
    <w:rsid w:val="00AF5D6D"/>
  </w:style>
  <w:style w:type="character" w:styleId="PageNumber">
    <w:name w:val="page number"/>
    <w:basedOn w:val="DefaultParagraphFont"/>
    <w:uiPriority w:val="99"/>
    <w:semiHidden/>
    <w:unhideWhenUsed/>
    <w:rsid w:val="00AF5D6D"/>
  </w:style>
  <w:style w:type="character" w:styleId="CommentReference">
    <w:name w:val="annotation reference"/>
    <w:basedOn w:val="DefaultParagraphFont"/>
    <w:uiPriority w:val="99"/>
    <w:semiHidden/>
    <w:unhideWhenUsed/>
    <w:rsid w:val="000D45B5"/>
    <w:rPr>
      <w:sz w:val="16"/>
      <w:szCs w:val="16"/>
    </w:rPr>
  </w:style>
  <w:style w:type="paragraph" w:styleId="CommentText">
    <w:name w:val="annotation text"/>
    <w:basedOn w:val="Normal"/>
    <w:link w:val="CommentTextChar"/>
    <w:uiPriority w:val="99"/>
    <w:unhideWhenUsed/>
    <w:rsid w:val="000D45B5"/>
    <w:rPr>
      <w:sz w:val="20"/>
      <w:szCs w:val="20"/>
    </w:rPr>
  </w:style>
  <w:style w:type="character" w:customStyle="1" w:styleId="CommentTextChar">
    <w:name w:val="Comment Text Char"/>
    <w:basedOn w:val="DefaultParagraphFont"/>
    <w:link w:val="CommentText"/>
    <w:uiPriority w:val="99"/>
    <w:rsid w:val="000D45B5"/>
    <w:rPr>
      <w:sz w:val="20"/>
      <w:szCs w:val="20"/>
    </w:rPr>
  </w:style>
  <w:style w:type="paragraph" w:styleId="CommentSubject">
    <w:name w:val="annotation subject"/>
    <w:basedOn w:val="CommentText"/>
    <w:next w:val="CommentText"/>
    <w:link w:val="CommentSubjectChar"/>
    <w:uiPriority w:val="99"/>
    <w:semiHidden/>
    <w:unhideWhenUsed/>
    <w:rsid w:val="000D45B5"/>
    <w:rPr>
      <w:b/>
      <w:bCs/>
    </w:rPr>
  </w:style>
  <w:style w:type="character" w:customStyle="1" w:styleId="CommentSubjectChar">
    <w:name w:val="Comment Subject Char"/>
    <w:basedOn w:val="CommentTextChar"/>
    <w:link w:val="CommentSubject"/>
    <w:uiPriority w:val="99"/>
    <w:semiHidden/>
    <w:rsid w:val="000D45B5"/>
    <w:rPr>
      <w:b/>
      <w:bCs/>
      <w:sz w:val="20"/>
      <w:szCs w:val="20"/>
    </w:rPr>
  </w:style>
  <w:style w:type="paragraph" w:styleId="Revision">
    <w:name w:val="Revision"/>
    <w:hidden/>
    <w:uiPriority w:val="99"/>
    <w:semiHidden/>
    <w:rsid w:val="0091608F"/>
  </w:style>
  <w:style w:type="paragraph" w:styleId="Header">
    <w:name w:val="header"/>
    <w:basedOn w:val="Normal"/>
    <w:link w:val="HeaderChar"/>
    <w:uiPriority w:val="99"/>
    <w:unhideWhenUsed/>
    <w:rsid w:val="00211087"/>
    <w:pPr>
      <w:tabs>
        <w:tab w:val="center" w:pos="4680"/>
        <w:tab w:val="right" w:pos="9360"/>
      </w:tabs>
    </w:pPr>
  </w:style>
  <w:style w:type="character" w:customStyle="1" w:styleId="HeaderChar">
    <w:name w:val="Header Char"/>
    <w:basedOn w:val="DefaultParagraphFont"/>
    <w:link w:val="Header"/>
    <w:uiPriority w:val="99"/>
    <w:rsid w:val="00211087"/>
  </w:style>
  <w:style w:type="paragraph" w:styleId="ListParagraph">
    <w:name w:val="List Paragraph"/>
    <w:aliases w:val="RFP question,Arizona,New_Bullet"/>
    <w:basedOn w:val="Normal"/>
    <w:link w:val="ListParagraphChar"/>
    <w:uiPriority w:val="34"/>
    <w:qFormat/>
    <w:rsid w:val="002F6BDA"/>
    <w:pPr>
      <w:ind w:left="720"/>
      <w:contextualSpacing/>
    </w:pPr>
  </w:style>
  <w:style w:type="paragraph" w:styleId="BodyText">
    <w:name w:val="Body Text"/>
    <w:basedOn w:val="Normal"/>
    <w:link w:val="BodyTextChar"/>
    <w:uiPriority w:val="1"/>
    <w:qFormat/>
    <w:rsid w:val="00A646EA"/>
    <w:pPr>
      <w:widowControl w:val="0"/>
      <w:autoSpaceDE w:val="0"/>
      <w:autoSpaceDN w:val="0"/>
    </w:pPr>
    <w:rPr>
      <w:rFonts w:ascii="Calibri Light" w:eastAsia="Calibri Light" w:hAnsi="Calibri Light" w:cs="Calibri Light"/>
      <w:sz w:val="22"/>
      <w:szCs w:val="22"/>
    </w:rPr>
  </w:style>
  <w:style w:type="character" w:customStyle="1" w:styleId="BodyTextChar">
    <w:name w:val="Body Text Char"/>
    <w:basedOn w:val="DefaultParagraphFont"/>
    <w:link w:val="BodyText"/>
    <w:uiPriority w:val="1"/>
    <w:rsid w:val="00A646EA"/>
    <w:rPr>
      <w:rFonts w:ascii="Calibri Light" w:eastAsia="Calibri Light" w:hAnsi="Calibri Light" w:cs="Calibri Light"/>
      <w:sz w:val="22"/>
      <w:szCs w:val="22"/>
    </w:rPr>
  </w:style>
  <w:style w:type="table" w:styleId="LightList-Accent3">
    <w:name w:val="Light List Accent 3"/>
    <w:basedOn w:val="TableNormal"/>
    <w:uiPriority w:val="61"/>
    <w:rsid w:val="009A041C"/>
    <w:rPr>
      <w:rFonts w:eastAsiaTheme="minorEastAsia"/>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xmsolistparagraph">
    <w:name w:val="x_msolistparagraph"/>
    <w:basedOn w:val="Normal"/>
    <w:rsid w:val="007630E4"/>
    <w:rPr>
      <w:rFonts w:ascii="Times New Roman" w:hAnsi="Times New Roman" w:cs="Times New Roman"/>
      <w:lang w:val="es-PR" w:eastAsia="es-PR"/>
    </w:rPr>
  </w:style>
  <w:style w:type="character" w:styleId="Hyperlink">
    <w:name w:val="Hyperlink"/>
    <w:basedOn w:val="DefaultParagraphFont"/>
    <w:uiPriority w:val="99"/>
    <w:unhideWhenUsed/>
    <w:rsid w:val="006E6E4B"/>
    <w:rPr>
      <w:color w:val="0000FF"/>
      <w:u w:val="single"/>
    </w:rPr>
  </w:style>
  <w:style w:type="character" w:customStyle="1" w:styleId="ListParagraphChar">
    <w:name w:val="List Paragraph Char"/>
    <w:aliases w:val="RFP question Char,Arizona Char,New_Bullet Char"/>
    <w:basedOn w:val="DefaultParagraphFont"/>
    <w:link w:val="ListParagraph"/>
    <w:uiPriority w:val="34"/>
    <w:locked/>
    <w:rsid w:val="006A4FED"/>
  </w:style>
  <w:style w:type="paragraph" w:styleId="FootnoteText">
    <w:name w:val="footnote text"/>
    <w:basedOn w:val="Normal"/>
    <w:link w:val="FootnoteTextChar"/>
    <w:uiPriority w:val="99"/>
    <w:semiHidden/>
    <w:unhideWhenUsed/>
    <w:rsid w:val="00A96AD5"/>
    <w:rPr>
      <w:sz w:val="20"/>
      <w:szCs w:val="20"/>
    </w:rPr>
  </w:style>
  <w:style w:type="character" w:customStyle="1" w:styleId="FootnoteTextChar">
    <w:name w:val="Footnote Text Char"/>
    <w:basedOn w:val="DefaultParagraphFont"/>
    <w:link w:val="FootnoteText"/>
    <w:uiPriority w:val="99"/>
    <w:semiHidden/>
    <w:rsid w:val="00A96AD5"/>
    <w:rPr>
      <w:sz w:val="20"/>
      <w:szCs w:val="20"/>
    </w:rPr>
  </w:style>
  <w:style w:type="character" w:styleId="FootnoteReference">
    <w:name w:val="footnote reference"/>
    <w:basedOn w:val="DefaultParagraphFont"/>
    <w:uiPriority w:val="99"/>
    <w:semiHidden/>
    <w:unhideWhenUsed/>
    <w:rsid w:val="00A96AD5"/>
    <w:rPr>
      <w:vertAlign w:val="superscript"/>
    </w:rPr>
  </w:style>
  <w:style w:type="paragraph" w:styleId="IntenseQuote">
    <w:name w:val="Intense Quote"/>
    <w:basedOn w:val="Normal"/>
    <w:next w:val="Normal"/>
    <w:link w:val="IntenseQuoteChar"/>
    <w:uiPriority w:val="30"/>
    <w:qFormat/>
    <w:rsid w:val="00D1414E"/>
    <w:pPr>
      <w:pBdr>
        <w:bottom w:val="single" w:sz="4" w:space="4" w:color="4472C4" w:themeColor="accent1"/>
      </w:pBdr>
      <w:spacing w:before="200" w:after="280" w:line="276" w:lineRule="auto"/>
      <w:ind w:left="936" w:right="936"/>
    </w:pPr>
    <w:rPr>
      <w:rFonts w:eastAsiaTheme="minorEastAsia"/>
      <w:b/>
      <w:bCs/>
      <w:i/>
      <w:iCs/>
      <w:color w:val="4472C4" w:themeColor="accent1"/>
      <w:sz w:val="22"/>
      <w:szCs w:val="22"/>
    </w:rPr>
  </w:style>
  <w:style w:type="character" w:customStyle="1" w:styleId="IntenseQuoteChar">
    <w:name w:val="Intense Quote Char"/>
    <w:basedOn w:val="DefaultParagraphFont"/>
    <w:link w:val="IntenseQuote"/>
    <w:uiPriority w:val="30"/>
    <w:rsid w:val="00D1414E"/>
    <w:rPr>
      <w:rFonts w:eastAsiaTheme="minorEastAsia"/>
      <w:b/>
      <w:bCs/>
      <w:i/>
      <w:iCs/>
      <w:color w:val="4472C4" w:themeColor="accent1"/>
      <w:sz w:val="22"/>
      <w:szCs w:val="22"/>
    </w:rPr>
  </w:style>
  <w:style w:type="character" w:customStyle="1" w:styleId="Heading2Char">
    <w:name w:val="Heading 2 Char"/>
    <w:basedOn w:val="DefaultParagraphFont"/>
    <w:link w:val="Heading2"/>
    <w:uiPriority w:val="9"/>
    <w:rsid w:val="00A852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5C4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E58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C24C3"/>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F6423"/>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E6983"/>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E6983"/>
    <w:rPr>
      <w:rFonts w:asciiTheme="majorHAnsi" w:eastAsiaTheme="majorEastAsia" w:hAnsiTheme="majorHAnsi" w:cstheme="majorBidi"/>
      <w:caps/>
      <w:color w:val="4472C4" w:themeColor="accent1"/>
      <w:spacing w:val="10"/>
      <w:sz w:val="52"/>
      <w:szCs w:val="52"/>
    </w:rPr>
  </w:style>
  <w:style w:type="character" w:styleId="UnresolvedMention">
    <w:name w:val="Unresolved Mention"/>
    <w:basedOn w:val="DefaultParagraphFont"/>
    <w:uiPriority w:val="99"/>
    <w:semiHidden/>
    <w:unhideWhenUsed/>
    <w:rsid w:val="00EC3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0670">
      <w:bodyDiv w:val="1"/>
      <w:marLeft w:val="0"/>
      <w:marRight w:val="0"/>
      <w:marTop w:val="0"/>
      <w:marBottom w:val="0"/>
      <w:divBdr>
        <w:top w:val="none" w:sz="0" w:space="0" w:color="auto"/>
        <w:left w:val="none" w:sz="0" w:space="0" w:color="auto"/>
        <w:bottom w:val="none" w:sz="0" w:space="0" w:color="auto"/>
        <w:right w:val="none" w:sz="0" w:space="0" w:color="auto"/>
      </w:divBdr>
    </w:div>
    <w:div w:id="336424567">
      <w:bodyDiv w:val="1"/>
      <w:marLeft w:val="0"/>
      <w:marRight w:val="0"/>
      <w:marTop w:val="0"/>
      <w:marBottom w:val="0"/>
      <w:divBdr>
        <w:top w:val="none" w:sz="0" w:space="0" w:color="auto"/>
        <w:left w:val="none" w:sz="0" w:space="0" w:color="auto"/>
        <w:bottom w:val="none" w:sz="0" w:space="0" w:color="auto"/>
        <w:right w:val="none" w:sz="0" w:space="0" w:color="auto"/>
      </w:divBdr>
    </w:div>
    <w:div w:id="605819118">
      <w:bodyDiv w:val="1"/>
      <w:marLeft w:val="0"/>
      <w:marRight w:val="0"/>
      <w:marTop w:val="0"/>
      <w:marBottom w:val="0"/>
      <w:divBdr>
        <w:top w:val="none" w:sz="0" w:space="0" w:color="auto"/>
        <w:left w:val="none" w:sz="0" w:space="0" w:color="auto"/>
        <w:bottom w:val="none" w:sz="0" w:space="0" w:color="auto"/>
        <w:right w:val="none" w:sz="0" w:space="0" w:color="auto"/>
      </w:divBdr>
      <w:divsChild>
        <w:div w:id="103666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64167">
              <w:marLeft w:val="0"/>
              <w:marRight w:val="0"/>
              <w:marTop w:val="0"/>
              <w:marBottom w:val="0"/>
              <w:divBdr>
                <w:top w:val="none" w:sz="0" w:space="0" w:color="auto"/>
                <w:left w:val="none" w:sz="0" w:space="0" w:color="auto"/>
                <w:bottom w:val="none" w:sz="0" w:space="0" w:color="auto"/>
                <w:right w:val="none" w:sz="0" w:space="0" w:color="auto"/>
              </w:divBdr>
              <w:divsChild>
                <w:div w:id="961032870">
                  <w:marLeft w:val="0"/>
                  <w:marRight w:val="0"/>
                  <w:marTop w:val="0"/>
                  <w:marBottom w:val="0"/>
                  <w:divBdr>
                    <w:top w:val="none" w:sz="0" w:space="0" w:color="auto"/>
                    <w:left w:val="none" w:sz="0" w:space="0" w:color="auto"/>
                    <w:bottom w:val="none" w:sz="0" w:space="0" w:color="auto"/>
                    <w:right w:val="none" w:sz="0" w:space="0" w:color="auto"/>
                  </w:divBdr>
                  <w:divsChild>
                    <w:div w:id="1185947738">
                      <w:marLeft w:val="0"/>
                      <w:marRight w:val="0"/>
                      <w:marTop w:val="0"/>
                      <w:marBottom w:val="0"/>
                      <w:divBdr>
                        <w:top w:val="none" w:sz="0" w:space="0" w:color="auto"/>
                        <w:left w:val="none" w:sz="0" w:space="0" w:color="auto"/>
                        <w:bottom w:val="none" w:sz="0" w:space="0" w:color="auto"/>
                        <w:right w:val="none" w:sz="0" w:space="0" w:color="auto"/>
                      </w:divBdr>
                      <w:divsChild>
                        <w:div w:id="1156645920">
                          <w:marLeft w:val="0"/>
                          <w:marRight w:val="0"/>
                          <w:marTop w:val="0"/>
                          <w:marBottom w:val="0"/>
                          <w:divBdr>
                            <w:top w:val="none" w:sz="0" w:space="0" w:color="auto"/>
                            <w:left w:val="none" w:sz="0" w:space="0" w:color="auto"/>
                            <w:bottom w:val="none" w:sz="0" w:space="0" w:color="auto"/>
                            <w:right w:val="none" w:sz="0" w:space="0" w:color="auto"/>
                          </w:divBdr>
                          <w:divsChild>
                            <w:div w:id="21244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2182">
      <w:bodyDiv w:val="1"/>
      <w:marLeft w:val="0"/>
      <w:marRight w:val="0"/>
      <w:marTop w:val="0"/>
      <w:marBottom w:val="0"/>
      <w:divBdr>
        <w:top w:val="none" w:sz="0" w:space="0" w:color="auto"/>
        <w:left w:val="none" w:sz="0" w:space="0" w:color="auto"/>
        <w:bottom w:val="none" w:sz="0" w:space="0" w:color="auto"/>
        <w:right w:val="none" w:sz="0" w:space="0" w:color="auto"/>
      </w:divBdr>
    </w:div>
    <w:div w:id="653337197">
      <w:bodyDiv w:val="1"/>
      <w:marLeft w:val="0"/>
      <w:marRight w:val="0"/>
      <w:marTop w:val="0"/>
      <w:marBottom w:val="0"/>
      <w:divBdr>
        <w:top w:val="none" w:sz="0" w:space="0" w:color="auto"/>
        <w:left w:val="none" w:sz="0" w:space="0" w:color="auto"/>
        <w:bottom w:val="none" w:sz="0" w:space="0" w:color="auto"/>
        <w:right w:val="none" w:sz="0" w:space="0" w:color="auto"/>
      </w:divBdr>
    </w:div>
    <w:div w:id="866405796">
      <w:bodyDiv w:val="1"/>
      <w:marLeft w:val="0"/>
      <w:marRight w:val="0"/>
      <w:marTop w:val="0"/>
      <w:marBottom w:val="0"/>
      <w:divBdr>
        <w:top w:val="none" w:sz="0" w:space="0" w:color="auto"/>
        <w:left w:val="none" w:sz="0" w:space="0" w:color="auto"/>
        <w:bottom w:val="none" w:sz="0" w:space="0" w:color="auto"/>
        <w:right w:val="none" w:sz="0" w:space="0" w:color="auto"/>
      </w:divBdr>
    </w:div>
    <w:div w:id="874273804">
      <w:bodyDiv w:val="1"/>
      <w:marLeft w:val="0"/>
      <w:marRight w:val="0"/>
      <w:marTop w:val="0"/>
      <w:marBottom w:val="0"/>
      <w:divBdr>
        <w:top w:val="none" w:sz="0" w:space="0" w:color="auto"/>
        <w:left w:val="none" w:sz="0" w:space="0" w:color="auto"/>
        <w:bottom w:val="none" w:sz="0" w:space="0" w:color="auto"/>
        <w:right w:val="none" w:sz="0" w:space="0" w:color="auto"/>
      </w:divBdr>
    </w:div>
    <w:div w:id="1533692993">
      <w:bodyDiv w:val="1"/>
      <w:marLeft w:val="0"/>
      <w:marRight w:val="0"/>
      <w:marTop w:val="0"/>
      <w:marBottom w:val="0"/>
      <w:divBdr>
        <w:top w:val="none" w:sz="0" w:space="0" w:color="auto"/>
        <w:left w:val="none" w:sz="0" w:space="0" w:color="auto"/>
        <w:bottom w:val="none" w:sz="0" w:space="0" w:color="auto"/>
        <w:right w:val="none" w:sz="0" w:space="0" w:color="auto"/>
      </w:divBdr>
      <w:divsChild>
        <w:div w:id="1230383763">
          <w:marLeft w:val="0"/>
          <w:marRight w:val="0"/>
          <w:marTop w:val="0"/>
          <w:marBottom w:val="0"/>
          <w:divBdr>
            <w:top w:val="none" w:sz="0" w:space="0" w:color="auto"/>
            <w:left w:val="none" w:sz="0" w:space="0" w:color="auto"/>
            <w:bottom w:val="none" w:sz="0" w:space="0" w:color="auto"/>
            <w:right w:val="none" w:sz="0" w:space="0" w:color="auto"/>
          </w:divBdr>
          <w:divsChild>
            <w:div w:id="864947413">
              <w:marLeft w:val="0"/>
              <w:marRight w:val="0"/>
              <w:marTop w:val="0"/>
              <w:marBottom w:val="0"/>
              <w:divBdr>
                <w:top w:val="none" w:sz="0" w:space="0" w:color="auto"/>
                <w:left w:val="none" w:sz="0" w:space="0" w:color="auto"/>
                <w:bottom w:val="none" w:sz="0" w:space="0" w:color="auto"/>
                <w:right w:val="none" w:sz="0" w:space="0" w:color="auto"/>
              </w:divBdr>
              <w:divsChild>
                <w:div w:id="810055956">
                  <w:marLeft w:val="0"/>
                  <w:marRight w:val="0"/>
                  <w:marTop w:val="0"/>
                  <w:marBottom w:val="0"/>
                  <w:divBdr>
                    <w:top w:val="none" w:sz="0" w:space="0" w:color="auto"/>
                    <w:left w:val="none" w:sz="0" w:space="0" w:color="auto"/>
                    <w:bottom w:val="none" w:sz="0" w:space="0" w:color="auto"/>
                    <w:right w:val="none" w:sz="0" w:space="0" w:color="auto"/>
                  </w:divBdr>
                  <w:divsChild>
                    <w:div w:id="1045719973">
                      <w:marLeft w:val="0"/>
                      <w:marRight w:val="0"/>
                      <w:marTop w:val="0"/>
                      <w:marBottom w:val="0"/>
                      <w:divBdr>
                        <w:top w:val="none" w:sz="0" w:space="0" w:color="auto"/>
                        <w:left w:val="none" w:sz="0" w:space="0" w:color="auto"/>
                        <w:bottom w:val="none" w:sz="0" w:space="0" w:color="auto"/>
                        <w:right w:val="none" w:sz="0" w:space="0" w:color="auto"/>
                      </w:divBdr>
                      <w:divsChild>
                        <w:div w:id="2145075546">
                          <w:marLeft w:val="0"/>
                          <w:marRight w:val="0"/>
                          <w:marTop w:val="0"/>
                          <w:marBottom w:val="0"/>
                          <w:divBdr>
                            <w:top w:val="none" w:sz="0" w:space="0" w:color="auto"/>
                            <w:left w:val="none" w:sz="0" w:space="0" w:color="auto"/>
                            <w:bottom w:val="none" w:sz="0" w:space="0" w:color="auto"/>
                            <w:right w:val="none" w:sz="0" w:space="0" w:color="auto"/>
                          </w:divBdr>
                          <w:divsChild>
                            <w:div w:id="378819767">
                              <w:marLeft w:val="0"/>
                              <w:marRight w:val="0"/>
                              <w:marTop w:val="0"/>
                              <w:marBottom w:val="0"/>
                              <w:divBdr>
                                <w:top w:val="none" w:sz="0" w:space="0" w:color="auto"/>
                                <w:left w:val="none" w:sz="0" w:space="0" w:color="auto"/>
                                <w:bottom w:val="none" w:sz="0" w:space="0" w:color="auto"/>
                                <w:right w:val="none" w:sz="0" w:space="0" w:color="auto"/>
                              </w:divBdr>
                              <w:divsChild>
                                <w:div w:id="788547002">
                                  <w:marLeft w:val="0"/>
                                  <w:marRight w:val="0"/>
                                  <w:marTop w:val="0"/>
                                  <w:marBottom w:val="0"/>
                                  <w:divBdr>
                                    <w:top w:val="none" w:sz="0" w:space="0" w:color="auto"/>
                                    <w:left w:val="none" w:sz="0" w:space="0" w:color="auto"/>
                                    <w:bottom w:val="none" w:sz="0" w:space="0" w:color="auto"/>
                                    <w:right w:val="none" w:sz="0" w:space="0" w:color="auto"/>
                                  </w:divBdr>
                                  <w:divsChild>
                                    <w:div w:id="1184200323">
                                      <w:marLeft w:val="0"/>
                                      <w:marRight w:val="0"/>
                                      <w:marTop w:val="0"/>
                                      <w:marBottom w:val="0"/>
                                      <w:divBdr>
                                        <w:top w:val="none" w:sz="0" w:space="0" w:color="auto"/>
                                        <w:left w:val="none" w:sz="0" w:space="0" w:color="auto"/>
                                        <w:bottom w:val="none" w:sz="0" w:space="0" w:color="auto"/>
                                        <w:right w:val="none" w:sz="0" w:space="0" w:color="auto"/>
                                      </w:divBdr>
                                      <w:divsChild>
                                        <w:div w:id="347174835">
                                          <w:marLeft w:val="0"/>
                                          <w:marRight w:val="0"/>
                                          <w:marTop w:val="0"/>
                                          <w:marBottom w:val="0"/>
                                          <w:divBdr>
                                            <w:top w:val="none" w:sz="0" w:space="0" w:color="auto"/>
                                            <w:left w:val="none" w:sz="0" w:space="0" w:color="auto"/>
                                            <w:bottom w:val="none" w:sz="0" w:space="0" w:color="auto"/>
                                            <w:right w:val="none" w:sz="0" w:space="0" w:color="auto"/>
                                          </w:divBdr>
                                          <w:divsChild>
                                            <w:div w:id="667632165">
                                              <w:marLeft w:val="0"/>
                                              <w:marRight w:val="0"/>
                                              <w:marTop w:val="0"/>
                                              <w:marBottom w:val="495"/>
                                              <w:divBdr>
                                                <w:top w:val="none" w:sz="0" w:space="0" w:color="auto"/>
                                                <w:left w:val="none" w:sz="0" w:space="0" w:color="auto"/>
                                                <w:bottom w:val="none" w:sz="0" w:space="0" w:color="auto"/>
                                                <w:right w:val="none" w:sz="0" w:space="0" w:color="auto"/>
                                              </w:divBdr>
                                              <w:divsChild>
                                                <w:div w:id="432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360191">
      <w:bodyDiv w:val="1"/>
      <w:marLeft w:val="0"/>
      <w:marRight w:val="0"/>
      <w:marTop w:val="0"/>
      <w:marBottom w:val="0"/>
      <w:divBdr>
        <w:top w:val="none" w:sz="0" w:space="0" w:color="auto"/>
        <w:left w:val="none" w:sz="0" w:space="0" w:color="auto"/>
        <w:bottom w:val="none" w:sz="0" w:space="0" w:color="auto"/>
        <w:right w:val="none" w:sz="0" w:space="0" w:color="auto"/>
      </w:divBdr>
      <w:divsChild>
        <w:div w:id="174610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80386">
              <w:marLeft w:val="0"/>
              <w:marRight w:val="0"/>
              <w:marTop w:val="0"/>
              <w:marBottom w:val="0"/>
              <w:divBdr>
                <w:top w:val="none" w:sz="0" w:space="0" w:color="auto"/>
                <w:left w:val="none" w:sz="0" w:space="0" w:color="auto"/>
                <w:bottom w:val="none" w:sz="0" w:space="0" w:color="auto"/>
                <w:right w:val="none" w:sz="0" w:space="0" w:color="auto"/>
              </w:divBdr>
              <w:divsChild>
                <w:div w:id="1270892089">
                  <w:marLeft w:val="0"/>
                  <w:marRight w:val="0"/>
                  <w:marTop w:val="0"/>
                  <w:marBottom w:val="0"/>
                  <w:divBdr>
                    <w:top w:val="none" w:sz="0" w:space="0" w:color="auto"/>
                    <w:left w:val="none" w:sz="0" w:space="0" w:color="auto"/>
                    <w:bottom w:val="none" w:sz="0" w:space="0" w:color="auto"/>
                    <w:right w:val="none" w:sz="0" w:space="0" w:color="auto"/>
                  </w:divBdr>
                  <w:divsChild>
                    <w:div w:id="1482386351">
                      <w:marLeft w:val="0"/>
                      <w:marRight w:val="0"/>
                      <w:marTop w:val="0"/>
                      <w:marBottom w:val="0"/>
                      <w:divBdr>
                        <w:top w:val="none" w:sz="0" w:space="0" w:color="auto"/>
                        <w:left w:val="none" w:sz="0" w:space="0" w:color="auto"/>
                        <w:bottom w:val="none" w:sz="0" w:space="0" w:color="auto"/>
                        <w:right w:val="none" w:sz="0" w:space="0" w:color="auto"/>
                      </w:divBdr>
                      <w:divsChild>
                        <w:div w:id="618074793">
                          <w:marLeft w:val="0"/>
                          <w:marRight w:val="0"/>
                          <w:marTop w:val="0"/>
                          <w:marBottom w:val="0"/>
                          <w:divBdr>
                            <w:top w:val="none" w:sz="0" w:space="0" w:color="auto"/>
                            <w:left w:val="none" w:sz="0" w:space="0" w:color="auto"/>
                            <w:bottom w:val="none" w:sz="0" w:space="0" w:color="auto"/>
                            <w:right w:val="none" w:sz="0" w:space="0" w:color="auto"/>
                          </w:divBdr>
                          <w:divsChild>
                            <w:div w:id="71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7681">
      <w:bodyDiv w:val="1"/>
      <w:marLeft w:val="0"/>
      <w:marRight w:val="0"/>
      <w:marTop w:val="0"/>
      <w:marBottom w:val="0"/>
      <w:divBdr>
        <w:top w:val="none" w:sz="0" w:space="0" w:color="auto"/>
        <w:left w:val="none" w:sz="0" w:space="0" w:color="auto"/>
        <w:bottom w:val="none" w:sz="0" w:space="0" w:color="auto"/>
        <w:right w:val="none" w:sz="0" w:space="0" w:color="auto"/>
      </w:divBdr>
      <w:divsChild>
        <w:div w:id="74811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411890">
              <w:marLeft w:val="0"/>
              <w:marRight w:val="0"/>
              <w:marTop w:val="0"/>
              <w:marBottom w:val="0"/>
              <w:divBdr>
                <w:top w:val="none" w:sz="0" w:space="0" w:color="auto"/>
                <w:left w:val="none" w:sz="0" w:space="0" w:color="auto"/>
                <w:bottom w:val="none" w:sz="0" w:space="0" w:color="auto"/>
                <w:right w:val="none" w:sz="0" w:space="0" w:color="auto"/>
              </w:divBdr>
              <w:divsChild>
                <w:div w:id="1095593455">
                  <w:marLeft w:val="0"/>
                  <w:marRight w:val="0"/>
                  <w:marTop w:val="0"/>
                  <w:marBottom w:val="0"/>
                  <w:divBdr>
                    <w:top w:val="none" w:sz="0" w:space="0" w:color="auto"/>
                    <w:left w:val="none" w:sz="0" w:space="0" w:color="auto"/>
                    <w:bottom w:val="none" w:sz="0" w:space="0" w:color="auto"/>
                    <w:right w:val="none" w:sz="0" w:space="0" w:color="auto"/>
                  </w:divBdr>
                  <w:divsChild>
                    <w:div w:id="881020078">
                      <w:marLeft w:val="0"/>
                      <w:marRight w:val="0"/>
                      <w:marTop w:val="0"/>
                      <w:marBottom w:val="0"/>
                      <w:divBdr>
                        <w:top w:val="none" w:sz="0" w:space="0" w:color="auto"/>
                        <w:left w:val="none" w:sz="0" w:space="0" w:color="auto"/>
                        <w:bottom w:val="none" w:sz="0" w:space="0" w:color="auto"/>
                        <w:right w:val="none" w:sz="0" w:space="0" w:color="auto"/>
                      </w:divBdr>
                      <w:divsChild>
                        <w:div w:id="1534884861">
                          <w:marLeft w:val="0"/>
                          <w:marRight w:val="0"/>
                          <w:marTop w:val="0"/>
                          <w:marBottom w:val="0"/>
                          <w:divBdr>
                            <w:top w:val="none" w:sz="0" w:space="0" w:color="auto"/>
                            <w:left w:val="none" w:sz="0" w:space="0" w:color="auto"/>
                            <w:bottom w:val="none" w:sz="0" w:space="0" w:color="auto"/>
                            <w:right w:val="none" w:sz="0" w:space="0" w:color="auto"/>
                          </w:divBdr>
                          <w:divsChild>
                            <w:div w:id="2432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0216">
      <w:bodyDiv w:val="1"/>
      <w:marLeft w:val="0"/>
      <w:marRight w:val="0"/>
      <w:marTop w:val="0"/>
      <w:marBottom w:val="0"/>
      <w:divBdr>
        <w:top w:val="none" w:sz="0" w:space="0" w:color="auto"/>
        <w:left w:val="none" w:sz="0" w:space="0" w:color="auto"/>
        <w:bottom w:val="none" w:sz="0" w:space="0" w:color="auto"/>
        <w:right w:val="none" w:sz="0" w:space="0" w:color="auto"/>
      </w:divBdr>
    </w:div>
    <w:div w:id="20780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whitehouse.gov/wp-content/uploads/2019/07/2-CFR_Part-200_Appendix-XI_Compliance-Supplement_2019_FINAL_07.01.19.pdf"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rauderestart@de.pr.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so.org/Pages/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068006CF811C4FB65AFF55FF0F26C9" ma:contentTypeVersion="13" ma:contentTypeDescription="Create a new document." ma:contentTypeScope="" ma:versionID="7c45d8956e13cc4f0b3f943c2fc7ce0c">
  <xsd:schema xmlns:xsd="http://www.w3.org/2001/XMLSchema" xmlns:xs="http://www.w3.org/2001/XMLSchema" xmlns:p="http://schemas.microsoft.com/office/2006/metadata/properties" xmlns:ns3="c47cf2d1-98ad-48fb-830e-aaf11b1bb079" xmlns:ns4="4d39f256-839b-4e98-b035-ad7ed7438c73" targetNamespace="http://schemas.microsoft.com/office/2006/metadata/properties" ma:root="true" ma:fieldsID="9f7a3838d0cc51fd47ae25d42d981717" ns3:_="" ns4:_="">
    <xsd:import namespace="c47cf2d1-98ad-48fb-830e-aaf11b1bb079"/>
    <xsd:import namespace="4d39f256-839b-4e98-b035-ad7ed7438c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f2d1-98ad-48fb-830e-aaf11b1bb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9f256-839b-4e98-b035-ad7ed7438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BA0EE-1A0A-4194-AE53-88DBEB42F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5441B-067D-4C0F-BE25-4CF2367FE035}">
  <ds:schemaRefs>
    <ds:schemaRef ds:uri="http://schemas.openxmlformats.org/officeDocument/2006/bibliography"/>
  </ds:schemaRefs>
</ds:datastoreItem>
</file>

<file path=customXml/itemProps3.xml><?xml version="1.0" encoding="utf-8"?>
<ds:datastoreItem xmlns:ds="http://schemas.openxmlformats.org/officeDocument/2006/customXml" ds:itemID="{D78774B1-5CB8-44B5-99FA-A7556EACA5DD}">
  <ds:schemaRefs>
    <ds:schemaRef ds:uri="http://schemas.microsoft.com/sharepoint/v3/contenttype/forms"/>
  </ds:schemaRefs>
</ds:datastoreItem>
</file>

<file path=customXml/itemProps4.xml><?xml version="1.0" encoding="utf-8"?>
<ds:datastoreItem xmlns:ds="http://schemas.openxmlformats.org/officeDocument/2006/customXml" ds:itemID="{7A25AE48-D7CD-484F-A340-95C51AD4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f2d1-98ad-48fb-830e-aaf11b1bb079"/>
    <ds:schemaRef ds:uri="4d39f256-839b-4e98-b035-ad7ed7438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11737</Words>
  <Characters>64557</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Natalia Delgado De Gracia</cp:lastModifiedBy>
  <cp:revision>2</cp:revision>
  <cp:lastPrinted>2020-08-17T12:29:00Z</cp:lastPrinted>
  <dcterms:created xsi:type="dcterms:W3CDTF">2021-03-29T19:30:00Z</dcterms:created>
  <dcterms:modified xsi:type="dcterms:W3CDTF">2021-03-29T19:30:00Z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0x010100AB068006CF811C4FB65AFF55FF0F26C9</vt:lpwstr>
  </property>
</Properties>
</file>