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248F" w14:textId="77777777" w:rsidR="00211087" w:rsidRPr="00C37E82" w:rsidRDefault="00157D2C" w:rsidP="00F5318E">
      <w:pPr>
        <w:pStyle w:val="Header"/>
        <w:ind w:left="1710" w:right="360" w:hanging="450"/>
      </w:pPr>
      <w:r w:rsidRPr="00C37E82">
        <w:rPr>
          <w:noProof/>
        </w:rPr>
        <w:drawing>
          <wp:anchor distT="0" distB="0" distL="114300" distR="114300" simplePos="0" relativeHeight="251659264" behindDoc="1" locked="0" layoutInCell="1" allowOverlap="1" wp14:anchorId="6EA456D9" wp14:editId="31A4C030">
            <wp:simplePos x="0" y="0"/>
            <wp:positionH relativeFrom="column">
              <wp:posOffset>-403013</wp:posOffset>
            </wp:positionH>
            <wp:positionV relativeFrom="paragraph">
              <wp:posOffset>-62865</wp:posOffset>
            </wp:positionV>
            <wp:extent cx="1080135" cy="10801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r w:rsidR="00211087" w:rsidRPr="00C37E82">
        <w:rPr>
          <w:rFonts w:ascii="Times New Roman" w:hAnsi="Times New Roman" w:cs="Times New Roman"/>
          <w:spacing w:val="20"/>
          <w:sz w:val="28"/>
        </w:rPr>
        <w:t>GO</w:t>
      </w:r>
      <w:r w:rsidR="0038619E" w:rsidRPr="00C37E82">
        <w:rPr>
          <w:rFonts w:ascii="Times New Roman" w:hAnsi="Times New Roman" w:cs="Times New Roman"/>
          <w:spacing w:val="20"/>
          <w:sz w:val="28"/>
        </w:rPr>
        <w:t>VERNMENT OF PUERTO RICO</w:t>
      </w:r>
    </w:p>
    <w:p w14:paraId="6A9F4D66" w14:textId="77777777" w:rsidR="00211087" w:rsidRPr="00626C1E" w:rsidRDefault="00211087" w:rsidP="00211087">
      <w:pPr>
        <w:pStyle w:val="Header"/>
        <w:ind w:left="1800" w:hanging="90"/>
        <w:rPr>
          <w:rFonts w:ascii="Times New Roman" w:hAnsi="Times New Roman" w:cs="Times New Roman"/>
          <w:spacing w:val="20"/>
          <w:sz w:val="10"/>
          <w:szCs w:val="10"/>
        </w:rPr>
      </w:pPr>
      <w:r w:rsidRPr="00C37E82">
        <w:rPr>
          <w:rFonts w:ascii="Times New Roman" w:hAnsi="Times New Roman" w:cs="Times New Roman"/>
          <w:noProof/>
          <w:spacing w:val="20"/>
          <w:sz w:val="28"/>
        </w:rPr>
        <mc:AlternateContent>
          <mc:Choice Requires="wps">
            <w:drawing>
              <wp:anchor distT="0" distB="0" distL="114300" distR="114300" simplePos="0" relativeHeight="251660288" behindDoc="0" locked="0" layoutInCell="1" allowOverlap="1" wp14:anchorId="186DC6EF" wp14:editId="46757BF7">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C1FD1"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" strokecolor="#7f7f7f [1612]" strokeweight=".5pt">
                <v:stroke joinstyle="miter"/>
              </v:line>
            </w:pict>
          </mc:Fallback>
        </mc:AlternateContent>
      </w:r>
      <w:r w:rsidRPr="00C37E82">
        <w:rPr>
          <w:rFonts w:ascii="Times New Roman" w:hAnsi="Times New Roman" w:cs="Times New Roman"/>
          <w:spacing w:val="20"/>
          <w:sz w:val="28"/>
        </w:rPr>
        <w:t xml:space="preserve"> </w:t>
      </w:r>
      <w:r w:rsidRPr="00C37E82">
        <w:rPr>
          <w:rFonts w:ascii="Times New Roman" w:hAnsi="Times New Roman" w:cs="Times New Roman"/>
          <w:spacing w:val="20"/>
          <w:sz w:val="22"/>
        </w:rPr>
        <w:t xml:space="preserve"> </w:t>
      </w:r>
    </w:p>
    <w:p w14:paraId="7C693EE2" w14:textId="77777777" w:rsidR="00211087" w:rsidRPr="00C37E82" w:rsidRDefault="00211087" w:rsidP="00211087">
      <w:pPr>
        <w:pStyle w:val="Header"/>
        <w:rPr>
          <w:rFonts w:ascii="Calibri" w:hAnsi="Calibri" w:cs="Times New Roman"/>
          <w:spacing w:val="20"/>
        </w:rPr>
      </w:pPr>
      <w:r w:rsidRPr="00C37E82">
        <w:rPr>
          <w:rFonts w:ascii="Calibri" w:hAnsi="Calibri" w:cs="Times New Roman"/>
          <w:spacing w:val="20"/>
        </w:rPr>
        <w:t xml:space="preserve">                 </w:t>
      </w:r>
      <w:r w:rsidR="0038619E" w:rsidRPr="00C37E82">
        <w:rPr>
          <w:rFonts w:ascii="Calibri" w:hAnsi="Calibri" w:cs="Times New Roman"/>
          <w:spacing w:val="20"/>
        </w:rPr>
        <w:t>Department of Education</w:t>
      </w:r>
    </w:p>
    <w:p w14:paraId="6C9E5577" w14:textId="77777777" w:rsidR="00211087" w:rsidRDefault="00211087" w:rsidP="00211087">
      <w:pPr>
        <w:pStyle w:val="Header"/>
        <w:rPr>
          <w:rFonts w:ascii="Calibri" w:hAnsi="Calibri" w:cs="Times New Roman"/>
          <w:spacing w:val="20"/>
        </w:rPr>
      </w:pPr>
      <w:r w:rsidRPr="00C37E82">
        <w:rPr>
          <w:rFonts w:ascii="Calibri" w:hAnsi="Calibri" w:cs="Times New Roman"/>
          <w:spacing w:val="20"/>
        </w:rPr>
        <w:t xml:space="preserve">                 </w:t>
      </w:r>
      <w:r w:rsidR="0038619E" w:rsidRPr="00C37E82">
        <w:rPr>
          <w:rFonts w:ascii="Calibri" w:hAnsi="Calibri" w:cs="Times New Roman"/>
          <w:spacing w:val="20"/>
        </w:rPr>
        <w:t>Auxiliary Secretariat of Federal Affairs</w:t>
      </w:r>
    </w:p>
    <w:p w14:paraId="1141AFB1" w14:textId="77777777" w:rsidR="00D86C25" w:rsidRDefault="00D86C25" w:rsidP="00211087">
      <w:pPr>
        <w:pStyle w:val="Header"/>
        <w:rPr>
          <w:rFonts w:ascii="Calibri" w:hAnsi="Calibri" w:cs="Times New Roman"/>
          <w:spacing w:val="20"/>
        </w:rPr>
      </w:pPr>
    </w:p>
    <w:p w14:paraId="1FFDDDB6" w14:textId="77777777" w:rsidR="00D86C25" w:rsidRPr="00C37E82" w:rsidRDefault="00D86C25" w:rsidP="00211087">
      <w:pPr>
        <w:pStyle w:val="Header"/>
        <w:rPr>
          <w:rFonts w:ascii="Calibri" w:hAnsi="Calibri" w:cs="Times New Roman"/>
          <w:spacing w:val="20"/>
        </w:rPr>
      </w:pPr>
    </w:p>
    <w:p w14:paraId="692F62BC" w14:textId="77777777" w:rsidR="00026912" w:rsidRPr="00D86C25" w:rsidRDefault="00026912" w:rsidP="00026912">
      <w:pPr>
        <w:pStyle w:val="Heading1"/>
        <w:spacing w:before="0"/>
        <w:jc w:val="center"/>
        <w:rPr>
          <w:rFonts w:cstheme="majorHAnsi"/>
          <w:b/>
          <w:color w:val="auto"/>
          <w:sz w:val="28"/>
          <w:szCs w:val="28"/>
        </w:rPr>
      </w:pPr>
      <w:r w:rsidRPr="00D86C25">
        <w:rPr>
          <w:rFonts w:cstheme="majorHAnsi"/>
          <w:b/>
          <w:color w:val="auto"/>
          <w:sz w:val="28"/>
          <w:szCs w:val="28"/>
        </w:rPr>
        <w:t>Restart Monitoring</w:t>
      </w:r>
      <w:r w:rsidR="00142054" w:rsidRPr="00D86C25">
        <w:rPr>
          <w:rFonts w:cstheme="majorHAnsi"/>
          <w:b/>
          <w:color w:val="auto"/>
          <w:sz w:val="28"/>
          <w:szCs w:val="28"/>
        </w:rPr>
        <w:t xml:space="preserve"> and Internal Control</w:t>
      </w:r>
      <w:r w:rsidRPr="00D86C25">
        <w:rPr>
          <w:rFonts w:cstheme="majorHAnsi"/>
          <w:b/>
          <w:color w:val="auto"/>
          <w:sz w:val="28"/>
          <w:szCs w:val="28"/>
        </w:rPr>
        <w:t xml:space="preserve"> Plan</w:t>
      </w:r>
    </w:p>
    <w:p w14:paraId="59EBBB69" w14:textId="4E14CE8B" w:rsidR="00026912" w:rsidRPr="00BE6E8E" w:rsidRDefault="00026912" w:rsidP="4F9E87E5">
      <w:pPr>
        <w:jc w:val="center"/>
        <w:rPr>
          <w:rFonts w:asciiTheme="majorHAnsi" w:hAnsiTheme="majorHAnsi" w:cstheme="majorBidi"/>
          <w:b/>
          <w:bCs/>
          <w:sz w:val="28"/>
          <w:szCs w:val="28"/>
        </w:rPr>
      </w:pPr>
      <w:r w:rsidRPr="00BE6E8E">
        <w:rPr>
          <w:rFonts w:asciiTheme="majorHAnsi" w:hAnsiTheme="majorHAnsi" w:cstheme="majorBidi"/>
          <w:b/>
          <w:bCs/>
          <w:sz w:val="28"/>
          <w:szCs w:val="28"/>
        </w:rPr>
        <w:t>Amended</w:t>
      </w:r>
      <w:r w:rsidR="00530DC2" w:rsidRPr="00BE6E8E">
        <w:rPr>
          <w:rFonts w:asciiTheme="majorHAnsi" w:hAnsiTheme="majorHAnsi" w:cstheme="majorBidi"/>
          <w:b/>
          <w:bCs/>
          <w:sz w:val="28"/>
          <w:szCs w:val="28"/>
        </w:rPr>
        <w:t xml:space="preserve"> </w:t>
      </w:r>
      <w:r w:rsidR="00FC7C0B" w:rsidRPr="00BE6E8E">
        <w:rPr>
          <w:rFonts w:asciiTheme="majorHAnsi" w:hAnsiTheme="majorHAnsi" w:cstheme="majorBidi"/>
          <w:b/>
          <w:bCs/>
          <w:sz w:val="28"/>
          <w:szCs w:val="28"/>
        </w:rPr>
        <w:t xml:space="preserve">rev. </w:t>
      </w:r>
      <w:r w:rsidR="007242F9">
        <w:rPr>
          <w:rFonts w:asciiTheme="majorHAnsi" w:hAnsiTheme="majorHAnsi" w:cstheme="majorBidi"/>
          <w:b/>
          <w:bCs/>
          <w:sz w:val="28"/>
          <w:szCs w:val="28"/>
        </w:rPr>
        <w:t>March</w:t>
      </w:r>
      <w:r w:rsidR="007E1038" w:rsidRPr="00BE6E8E">
        <w:rPr>
          <w:rFonts w:asciiTheme="majorHAnsi" w:hAnsiTheme="majorHAnsi" w:cstheme="majorHAnsi"/>
          <w:b/>
          <w:bCs/>
          <w:sz w:val="28"/>
          <w:szCs w:val="28"/>
        </w:rPr>
        <w:t>-</w:t>
      </w:r>
      <w:r w:rsidR="00511200" w:rsidRPr="00BE6E8E">
        <w:rPr>
          <w:rFonts w:asciiTheme="majorHAnsi" w:hAnsiTheme="majorHAnsi" w:cstheme="majorHAnsi"/>
          <w:b/>
          <w:bCs/>
          <w:sz w:val="28"/>
          <w:szCs w:val="28"/>
        </w:rPr>
        <w:t xml:space="preserve"> 202</w:t>
      </w:r>
      <w:r w:rsidR="00FC7C0B" w:rsidRPr="00BE6E8E">
        <w:rPr>
          <w:rFonts w:asciiTheme="majorHAnsi" w:hAnsiTheme="majorHAnsi" w:cstheme="majorHAnsi"/>
          <w:b/>
          <w:bCs/>
          <w:sz w:val="28"/>
          <w:szCs w:val="28"/>
        </w:rPr>
        <w:t>1</w:t>
      </w:r>
    </w:p>
    <w:p w14:paraId="43818150" w14:textId="77777777" w:rsidR="00026912" w:rsidRPr="00CC770D" w:rsidRDefault="00026912" w:rsidP="00026912">
      <w:pPr>
        <w:rPr>
          <w:rFonts w:cstheme="majorHAnsi"/>
          <w:b/>
          <w:color w:val="000000" w:themeColor="text1"/>
          <w:sz w:val="22"/>
          <w:szCs w:val="22"/>
        </w:rPr>
      </w:pPr>
    </w:p>
    <w:p w14:paraId="5A4AAF8E" w14:textId="77777777" w:rsidR="004C12EC" w:rsidRDefault="004C12EC" w:rsidP="00C539FD">
      <w:pPr>
        <w:pStyle w:val="Heading1"/>
        <w:rPr>
          <w:b/>
          <w:sz w:val="28"/>
          <w:szCs w:val="28"/>
        </w:rPr>
      </w:pPr>
      <w:r w:rsidRPr="004A1115">
        <w:rPr>
          <w:b/>
          <w:sz w:val="28"/>
          <w:szCs w:val="28"/>
        </w:rPr>
        <w:t>Introduction</w:t>
      </w:r>
    </w:p>
    <w:p w14:paraId="7E3DBE16" w14:textId="77777777" w:rsidR="004A1115" w:rsidRPr="004A1115" w:rsidRDefault="004A1115" w:rsidP="004A1115"/>
    <w:p w14:paraId="21B25A97" w14:textId="47D532CB" w:rsidR="004F6423" w:rsidRDefault="004F6423" w:rsidP="00C539FD">
      <w:pPr>
        <w:pStyle w:val="Default"/>
        <w:jc w:val="both"/>
        <w:rPr>
          <w:rFonts w:asciiTheme="majorHAnsi" w:hAnsiTheme="majorHAnsi" w:cstheme="majorBidi"/>
          <w:color w:val="000000" w:themeColor="text1"/>
        </w:rPr>
      </w:pPr>
      <w:r w:rsidRPr="004F6423">
        <w:rPr>
          <w:rFonts w:asciiTheme="majorHAnsi" w:hAnsiTheme="majorHAnsi" w:cstheme="majorBidi"/>
          <w:color w:val="000000" w:themeColor="text1"/>
        </w:rPr>
        <w:t>The Bipartisan Budget Act (Division, B, Subdivision I, Title VIII of P.L. 115-123) (“the Bipartisan Budget Act of 2018) authorized five grant programs to assist school districts and schools in meeting the educational needs of students displaced by Hurricanes Harvey, Irma, and Maria, or wildfires in 2017 for which a major disaster or emergency has been declared, and to help schools that were closed as a result of the hurricanes or wildfires to reopen as quickly and effectively as possible. In enacting this legislation, Congress modified the provisions of the Hurricane Education Recovery Act, Public Law 109-148 (HERA), which was enacted after Hurricanes Katrina and Rita in 2006. The provisions of the K-12 programs in the modified authority are generally similar to those in the prior program legislation, except for references to eligible applicants, the names of the covered disasters and emergencies, and date-specific and timeframe references.  Please see the redlined version of the HERA (P.L. 109-148) showing operational modifications made by the Bipartisan Budget Act of 2018 (P.L. 115-123) and the Consolidated Appropriations Act of 2018 (P.L. 115-141), which is referred to as the “modified Act” throughout this section</w:t>
      </w:r>
      <w:r>
        <w:rPr>
          <w:rStyle w:val="FootnoteReference"/>
          <w:rFonts w:asciiTheme="majorHAnsi" w:hAnsiTheme="majorHAnsi" w:cstheme="majorBidi"/>
          <w:color w:val="000000" w:themeColor="text1"/>
        </w:rPr>
        <w:footnoteReference w:id="2"/>
      </w:r>
      <w:r w:rsidRPr="004F6423">
        <w:rPr>
          <w:rFonts w:asciiTheme="majorHAnsi" w:hAnsiTheme="majorHAnsi" w:cstheme="majorBidi"/>
          <w:color w:val="000000" w:themeColor="text1"/>
        </w:rPr>
        <w:t>, available at https://www2.ed.gov/programs/restart/2018-hurricanerelief-pl109-148.docx.   These K-12 programs are (1) the Immediate Aid to Restart School Operations (Restart) program (CFDA 84.938A), (2) the Assistance for Homeless Children and Youth (AHCY) program (CFDA 84.938B), and (3) the Temporary Emergency Impact Aid for Displaced Students (EIA) program (CFDA 84.938C).  The Bipartisan Budget Act of 2018 also funded three programs for institutions of higher education to provide assistance for students attending institutions of higher education in areas affected by covered disasters. These programs are (1) the Emergency Assistance to Institutions of Higher Education (CFDA 84.938T), and (2) Defraying Costs of Enrolling Displaced Students (CFDA 84.938S). See Section IV, Other Information for an explanation on the use of alpha suffixes added to the CFDA number (CFDA 84.938A)</w:t>
      </w:r>
      <w:r w:rsidR="00E7273D">
        <w:rPr>
          <w:rFonts w:asciiTheme="majorHAnsi" w:hAnsiTheme="majorHAnsi" w:cstheme="majorBidi"/>
          <w:color w:val="000000" w:themeColor="text1"/>
        </w:rPr>
        <w:t>.</w:t>
      </w:r>
      <w:r w:rsidRPr="004F6423">
        <w:rPr>
          <w:rFonts w:asciiTheme="majorHAnsi" w:hAnsiTheme="majorHAnsi" w:cstheme="majorBidi"/>
          <w:color w:val="000000" w:themeColor="text1"/>
        </w:rPr>
        <w:t xml:space="preserve"> The Restart program is designed to support the provision of immediate services or assistance to local educational agencies (LEAs) and non-public schools in areas where a major disaster or emergency was declared under sections 401 and 501 of the Robert T. Stafford Disaster Relief and Emergency Assistance Act (42 U.S.C. 5170 and 5190) related to the consequences of Hurricanes Harvey, Irma and/or Maria or the California wildfires in 2017 (“a covered disaster or emergency”). Funds will be used to assist school administrators and personnel in restarting school operations, re-opening schools, and re-enrolling students</w:t>
      </w:r>
      <w:r>
        <w:rPr>
          <w:rFonts w:asciiTheme="majorHAnsi" w:hAnsiTheme="majorHAnsi" w:cstheme="majorBidi"/>
          <w:color w:val="000000" w:themeColor="text1"/>
        </w:rPr>
        <w:t>.</w:t>
      </w:r>
      <w:r w:rsidR="00C539FD">
        <w:rPr>
          <w:rFonts w:asciiTheme="majorHAnsi" w:hAnsiTheme="majorHAnsi" w:cstheme="majorBidi"/>
          <w:color w:val="000000" w:themeColor="text1"/>
        </w:rPr>
        <w:t xml:space="preserve">  This Document provides the internal controls only for the </w:t>
      </w:r>
      <w:r w:rsidR="00C539FD" w:rsidRPr="004F6423">
        <w:rPr>
          <w:rFonts w:asciiTheme="majorHAnsi" w:hAnsiTheme="majorHAnsi" w:cstheme="majorBidi"/>
          <w:color w:val="000000" w:themeColor="text1"/>
        </w:rPr>
        <w:t>Immediate Aid to Restart School Operations (Restart) program (CFDA 84.938A</w:t>
      </w:r>
      <w:r w:rsidR="00C539FD">
        <w:rPr>
          <w:rFonts w:asciiTheme="majorHAnsi" w:hAnsiTheme="majorHAnsi" w:cstheme="majorBidi"/>
          <w:color w:val="000000" w:themeColor="text1"/>
        </w:rPr>
        <w:t>).</w:t>
      </w:r>
    </w:p>
    <w:p w14:paraId="524A0B6D" w14:textId="77777777" w:rsidR="004F6423" w:rsidRDefault="004F6423" w:rsidP="004C12EC">
      <w:pPr>
        <w:pStyle w:val="Default"/>
        <w:spacing w:after="9"/>
        <w:jc w:val="both"/>
        <w:rPr>
          <w:rFonts w:asciiTheme="majorHAnsi" w:hAnsiTheme="majorHAnsi" w:cstheme="majorBidi"/>
          <w:color w:val="000000" w:themeColor="text1"/>
        </w:rPr>
      </w:pPr>
    </w:p>
    <w:p w14:paraId="7DA533C1" w14:textId="77777777" w:rsidR="00C539FD" w:rsidRDefault="00C539FD">
      <w:pPr>
        <w:rPr>
          <w:rFonts w:asciiTheme="majorHAnsi" w:hAnsiTheme="majorHAnsi" w:cstheme="majorBidi"/>
          <w:color w:val="000000" w:themeColor="text1"/>
        </w:rPr>
      </w:pPr>
      <w:r>
        <w:rPr>
          <w:rFonts w:asciiTheme="majorHAnsi" w:hAnsiTheme="majorHAnsi" w:cstheme="majorBidi"/>
          <w:color w:val="000000" w:themeColor="text1"/>
        </w:rPr>
        <w:br w:type="page"/>
      </w:r>
    </w:p>
    <w:p w14:paraId="45BF672D" w14:textId="0275A780" w:rsidR="005D240F" w:rsidRPr="007B5D9F" w:rsidRDefault="004A4351" w:rsidP="004C12EC">
      <w:pPr>
        <w:pStyle w:val="Default"/>
        <w:spacing w:after="9"/>
        <w:jc w:val="both"/>
        <w:rPr>
          <w:rFonts w:asciiTheme="majorHAnsi" w:hAnsiTheme="majorHAnsi" w:cstheme="majorBidi"/>
          <w:color w:val="000000" w:themeColor="text1"/>
        </w:rPr>
      </w:pPr>
      <w:r w:rsidRPr="007B5D9F">
        <w:rPr>
          <w:rFonts w:asciiTheme="majorHAnsi" w:hAnsiTheme="majorHAnsi" w:cstheme="majorBidi"/>
          <w:color w:val="000000" w:themeColor="text1"/>
        </w:rPr>
        <w:lastRenderedPageBreak/>
        <w:t>Federal regulations and administrative procedures require that the Puerto Rico Department of Education (PRDE) monitors the implementation of program requirements and the expenditure of federal funds</w:t>
      </w:r>
      <w:r w:rsidR="00511200" w:rsidRPr="007B5D9F">
        <w:rPr>
          <w:rStyle w:val="FootnoteReference"/>
          <w:rFonts w:asciiTheme="majorHAnsi" w:hAnsiTheme="majorHAnsi" w:cstheme="majorBidi"/>
          <w:color w:val="000000" w:themeColor="text1"/>
        </w:rPr>
        <w:footnoteReference w:id="3"/>
      </w:r>
      <w:r w:rsidRPr="007B5D9F">
        <w:rPr>
          <w:rFonts w:asciiTheme="majorHAnsi" w:hAnsiTheme="majorHAnsi" w:cstheme="majorBidi"/>
          <w:color w:val="000000" w:themeColor="text1"/>
        </w:rPr>
        <w:t xml:space="preserve">. </w:t>
      </w:r>
      <w:r w:rsidR="005D240F" w:rsidRPr="007B5D9F">
        <w:rPr>
          <w:rFonts w:asciiTheme="majorHAnsi" w:hAnsiTheme="majorHAnsi" w:cstheme="majorBidi"/>
          <w:color w:val="000000" w:themeColor="text1"/>
        </w:rPr>
        <w:t xml:space="preserve">Monitoring </w:t>
      </w:r>
      <w:r w:rsidR="00F5762A" w:rsidRPr="007B5D9F">
        <w:rPr>
          <w:rFonts w:asciiTheme="majorHAnsi" w:hAnsiTheme="majorHAnsi" w:cstheme="majorBidi"/>
          <w:color w:val="000000" w:themeColor="text1"/>
        </w:rPr>
        <w:t>and the establishment of internal controls are</w:t>
      </w:r>
      <w:r w:rsidR="005D240F" w:rsidRPr="007B5D9F">
        <w:rPr>
          <w:rFonts w:asciiTheme="majorHAnsi" w:hAnsiTheme="majorHAnsi" w:cstheme="majorBidi"/>
          <w:color w:val="000000" w:themeColor="text1"/>
        </w:rPr>
        <w:t xml:space="preserve"> essential function</w:t>
      </w:r>
      <w:r w:rsidR="00F5762A" w:rsidRPr="007B5D9F">
        <w:rPr>
          <w:rFonts w:asciiTheme="majorHAnsi" w:hAnsiTheme="majorHAnsi" w:cstheme="majorBidi"/>
          <w:color w:val="000000" w:themeColor="text1"/>
        </w:rPr>
        <w:t>s</w:t>
      </w:r>
      <w:r w:rsidR="005D240F" w:rsidRPr="007B5D9F">
        <w:rPr>
          <w:rFonts w:asciiTheme="majorHAnsi" w:hAnsiTheme="majorHAnsi" w:cstheme="majorBidi"/>
          <w:color w:val="000000" w:themeColor="text1"/>
        </w:rPr>
        <w:t xml:space="preserve"> of the PRDE. </w:t>
      </w:r>
      <w:r w:rsidRPr="007B5D9F">
        <w:rPr>
          <w:rFonts w:asciiTheme="majorHAnsi" w:hAnsiTheme="majorHAnsi" w:cstheme="majorBidi"/>
          <w:color w:val="000000" w:themeColor="text1"/>
        </w:rPr>
        <w:t>Through this process, the PRDE</w:t>
      </w:r>
      <w:r w:rsidR="00C917D7" w:rsidRPr="007B5D9F">
        <w:rPr>
          <w:rFonts w:asciiTheme="majorHAnsi" w:hAnsiTheme="majorHAnsi" w:cstheme="majorBidi"/>
          <w:color w:val="000000" w:themeColor="text1"/>
        </w:rPr>
        <w:t xml:space="preserve"> works collaboratively with </w:t>
      </w:r>
      <w:r w:rsidR="00941503" w:rsidRPr="007B5D9F">
        <w:rPr>
          <w:rFonts w:asciiTheme="majorHAnsi" w:hAnsiTheme="majorHAnsi" w:cstheme="majorBidi"/>
          <w:color w:val="000000" w:themeColor="text1"/>
        </w:rPr>
        <w:t xml:space="preserve">public and non-public </w:t>
      </w:r>
      <w:r w:rsidR="00C917D7" w:rsidRPr="007B5D9F">
        <w:rPr>
          <w:rFonts w:asciiTheme="majorHAnsi" w:hAnsiTheme="majorHAnsi" w:cstheme="majorBidi"/>
          <w:color w:val="000000" w:themeColor="text1"/>
        </w:rPr>
        <w:t xml:space="preserve">schools by providing them with high-quality technical assistance for fiscal and programmatic planning and implementation of all services provided for students, teachers, and principals, on behalf of their federally funded programs. PRDE strives to provide effective and efficient monitoring processes that will demonstrate accountability and transparency for the purpose of maintaining integrity for all federal funded programs. </w:t>
      </w:r>
      <w:r w:rsidR="005D240F" w:rsidRPr="007B5D9F">
        <w:rPr>
          <w:rFonts w:asciiTheme="majorHAnsi" w:hAnsiTheme="majorHAnsi" w:cstheme="majorBidi"/>
          <w:color w:val="000000" w:themeColor="text1"/>
        </w:rPr>
        <w:t>This document describes the purpose, rationale, and process used by the Auxiliary Secretariat of Federal Affairs</w:t>
      </w:r>
      <w:r w:rsidR="00C917D7" w:rsidRPr="007B5D9F">
        <w:rPr>
          <w:rFonts w:asciiTheme="majorHAnsi" w:hAnsiTheme="majorHAnsi" w:cstheme="majorBidi"/>
          <w:color w:val="000000" w:themeColor="text1"/>
        </w:rPr>
        <w:t xml:space="preserve"> of the PRDE</w:t>
      </w:r>
      <w:r w:rsidR="005D240F" w:rsidRPr="007B5D9F">
        <w:rPr>
          <w:rFonts w:asciiTheme="majorHAnsi" w:hAnsiTheme="majorHAnsi" w:cstheme="majorBidi"/>
          <w:color w:val="000000" w:themeColor="text1"/>
        </w:rPr>
        <w:t xml:space="preserve"> in monitoring the use of Restart funds</w:t>
      </w:r>
      <w:r w:rsidR="007A671D">
        <w:rPr>
          <w:rFonts w:asciiTheme="majorHAnsi" w:hAnsiTheme="majorHAnsi" w:cstheme="majorBidi"/>
          <w:color w:val="000000" w:themeColor="text1"/>
        </w:rPr>
        <w:t xml:space="preserve"> in addition to</w:t>
      </w:r>
      <w:r w:rsidR="00F5762A" w:rsidRPr="007B5D9F">
        <w:rPr>
          <w:rFonts w:asciiTheme="majorHAnsi" w:hAnsiTheme="majorHAnsi" w:cstheme="majorBidi"/>
          <w:color w:val="000000" w:themeColor="text1"/>
        </w:rPr>
        <w:t xml:space="preserve"> the internal controls in place to </w:t>
      </w:r>
      <w:r w:rsidR="00BA7380">
        <w:rPr>
          <w:rFonts w:asciiTheme="majorHAnsi" w:hAnsiTheme="majorHAnsi" w:cstheme="majorBidi"/>
          <w:color w:val="000000" w:themeColor="text1"/>
        </w:rPr>
        <w:t xml:space="preserve">facilitate </w:t>
      </w:r>
      <w:r w:rsidR="00F5762A" w:rsidRPr="007B5D9F">
        <w:rPr>
          <w:rFonts w:asciiTheme="majorHAnsi" w:hAnsiTheme="majorHAnsi" w:cstheme="majorBidi"/>
          <w:color w:val="000000" w:themeColor="text1"/>
        </w:rPr>
        <w:t xml:space="preserve">that only allowable activities are carried out with this Grant. </w:t>
      </w:r>
    </w:p>
    <w:p w14:paraId="5AE6111F" w14:textId="77777777" w:rsidR="005D240F" w:rsidRPr="007B5D9F" w:rsidRDefault="005D240F" w:rsidP="004C12EC">
      <w:pPr>
        <w:pStyle w:val="Default"/>
        <w:spacing w:after="9"/>
        <w:jc w:val="both"/>
        <w:rPr>
          <w:rFonts w:asciiTheme="majorHAnsi" w:hAnsiTheme="majorHAnsi" w:cstheme="majorBidi"/>
          <w:color w:val="000000" w:themeColor="text1"/>
        </w:rPr>
      </w:pPr>
    </w:p>
    <w:p w14:paraId="472BC20E" w14:textId="77777777" w:rsidR="004C12EC" w:rsidRPr="007B5D9F" w:rsidRDefault="00F5762A" w:rsidP="004C12EC">
      <w:pPr>
        <w:pStyle w:val="Default"/>
        <w:spacing w:after="9"/>
        <w:jc w:val="both"/>
        <w:rPr>
          <w:rFonts w:asciiTheme="majorHAnsi" w:hAnsiTheme="majorHAnsi" w:cstheme="majorBidi"/>
          <w:color w:val="000000" w:themeColor="text1"/>
        </w:rPr>
      </w:pPr>
      <w:r w:rsidRPr="007B5D9F">
        <w:rPr>
          <w:rFonts w:asciiTheme="majorHAnsi" w:hAnsiTheme="majorHAnsi" w:cstheme="majorBidi"/>
          <w:color w:val="000000" w:themeColor="text1"/>
        </w:rPr>
        <w:t>On March 2018</w:t>
      </w:r>
      <w:r w:rsidR="00E45149" w:rsidRPr="007B5D9F">
        <w:rPr>
          <w:rFonts w:asciiTheme="majorHAnsi" w:hAnsiTheme="majorHAnsi" w:cstheme="majorBidi"/>
          <w:color w:val="000000" w:themeColor="text1"/>
        </w:rPr>
        <w:t>,</w:t>
      </w:r>
      <w:r w:rsidRPr="007B5D9F">
        <w:rPr>
          <w:rFonts w:asciiTheme="majorHAnsi" w:hAnsiTheme="majorHAnsi" w:cstheme="majorBidi"/>
          <w:color w:val="000000" w:themeColor="text1"/>
        </w:rPr>
        <w:t xml:space="preserve"> t</w:t>
      </w:r>
      <w:r w:rsidR="004C12EC" w:rsidRPr="007B5D9F">
        <w:rPr>
          <w:rFonts w:asciiTheme="majorHAnsi" w:hAnsiTheme="majorHAnsi" w:cstheme="majorBidi"/>
          <w:color w:val="000000" w:themeColor="text1"/>
        </w:rPr>
        <w:t xml:space="preserve">he PRDE submitted an application </w:t>
      </w:r>
      <w:r w:rsidR="005D240F" w:rsidRPr="007B5D9F">
        <w:rPr>
          <w:rFonts w:asciiTheme="majorHAnsi" w:hAnsiTheme="majorHAnsi" w:cstheme="majorBidi"/>
          <w:color w:val="000000" w:themeColor="text1"/>
        </w:rPr>
        <w:t>to</w:t>
      </w:r>
      <w:r w:rsidR="004C12EC" w:rsidRPr="007B5D9F">
        <w:rPr>
          <w:rFonts w:asciiTheme="majorHAnsi" w:hAnsiTheme="majorHAnsi" w:cstheme="majorBidi"/>
          <w:color w:val="000000" w:themeColor="text1"/>
        </w:rPr>
        <w:t xml:space="preserve"> the United States Department of Education (USDE) seeking to participate </w:t>
      </w:r>
      <w:r w:rsidR="00C9324D" w:rsidRPr="007B5D9F">
        <w:rPr>
          <w:rFonts w:asciiTheme="majorHAnsi" w:hAnsiTheme="majorHAnsi" w:cstheme="majorBidi"/>
          <w:color w:val="000000" w:themeColor="text1"/>
        </w:rPr>
        <w:t>in</w:t>
      </w:r>
      <w:r w:rsidR="004C12EC" w:rsidRPr="007B5D9F">
        <w:rPr>
          <w:rFonts w:asciiTheme="majorHAnsi" w:hAnsiTheme="majorHAnsi" w:cstheme="majorBidi"/>
          <w:color w:val="000000" w:themeColor="text1"/>
        </w:rPr>
        <w:t xml:space="preserve"> the </w:t>
      </w:r>
      <w:r w:rsidR="005D240F" w:rsidRPr="007B5D9F">
        <w:rPr>
          <w:rFonts w:asciiTheme="majorHAnsi" w:hAnsiTheme="majorHAnsi" w:cstheme="majorBidi"/>
          <w:color w:val="000000" w:themeColor="text1"/>
        </w:rPr>
        <w:t>Immediate Aid to Restart School Operations program (Restart)</w:t>
      </w:r>
      <w:r w:rsidR="004C12EC" w:rsidRPr="007B5D9F">
        <w:rPr>
          <w:rFonts w:asciiTheme="majorHAnsi" w:hAnsiTheme="majorHAnsi" w:cstheme="majorBidi"/>
          <w:color w:val="000000" w:themeColor="text1"/>
        </w:rPr>
        <w:t xml:space="preserve">. </w:t>
      </w:r>
      <w:r w:rsidR="005D240F" w:rsidRPr="007B5D9F">
        <w:rPr>
          <w:rFonts w:asciiTheme="majorHAnsi" w:hAnsiTheme="majorHAnsi" w:cstheme="majorBidi"/>
          <w:color w:val="000000" w:themeColor="text1"/>
        </w:rPr>
        <w:t xml:space="preserve">The Restart program provides funds to assist school administrators and personnel in restarting school operations, re-opening schools, and re-enrolling students. </w:t>
      </w:r>
      <w:r w:rsidRPr="007B5D9F">
        <w:rPr>
          <w:rFonts w:asciiTheme="majorHAnsi" w:hAnsiTheme="majorHAnsi" w:cstheme="majorBidi"/>
          <w:color w:val="000000" w:themeColor="text1"/>
        </w:rPr>
        <w:t>After appropriate evaluation, t</w:t>
      </w:r>
      <w:r w:rsidR="004C12EC" w:rsidRPr="007B5D9F">
        <w:rPr>
          <w:rFonts w:asciiTheme="majorHAnsi" w:hAnsiTheme="majorHAnsi" w:cstheme="majorBidi"/>
          <w:color w:val="000000" w:themeColor="text1"/>
        </w:rPr>
        <w:t xml:space="preserve">he USDE awarded PRDE with funds </w:t>
      </w:r>
      <w:r w:rsidR="005D240F" w:rsidRPr="007B5D9F">
        <w:rPr>
          <w:rFonts w:asciiTheme="majorHAnsi" w:hAnsiTheme="majorHAnsi" w:cstheme="majorBidi"/>
          <w:color w:val="000000" w:themeColor="text1"/>
        </w:rPr>
        <w:t xml:space="preserve">in </w:t>
      </w:r>
      <w:r w:rsidR="004C12EC" w:rsidRPr="007B5D9F">
        <w:rPr>
          <w:rFonts w:asciiTheme="majorHAnsi" w:hAnsiTheme="majorHAnsi" w:cstheme="majorBidi"/>
          <w:color w:val="000000" w:themeColor="text1"/>
        </w:rPr>
        <w:t>the amount of $</w:t>
      </w:r>
      <w:r w:rsidR="005D240F" w:rsidRPr="007B5D9F">
        <w:rPr>
          <w:rFonts w:asciiTheme="majorHAnsi" w:hAnsiTheme="majorHAnsi" w:cstheme="majorBidi"/>
          <w:color w:val="000000" w:themeColor="text1"/>
        </w:rPr>
        <w:t>589</w:t>
      </w:r>
      <w:r w:rsidR="00D60BC4" w:rsidRPr="007B5D9F">
        <w:rPr>
          <w:rFonts w:asciiTheme="majorHAnsi" w:hAnsiTheme="majorHAnsi" w:cstheme="majorBidi"/>
          <w:color w:val="000000" w:themeColor="text1"/>
        </w:rPr>
        <w:t>.17</w:t>
      </w:r>
      <w:r w:rsidR="005D240F" w:rsidRPr="007B5D9F">
        <w:rPr>
          <w:rFonts w:asciiTheme="majorHAnsi" w:hAnsiTheme="majorHAnsi" w:cstheme="majorBidi"/>
          <w:color w:val="000000" w:themeColor="text1"/>
        </w:rPr>
        <w:t>M</w:t>
      </w:r>
      <w:r w:rsidR="004C12EC" w:rsidRPr="007B5D9F">
        <w:rPr>
          <w:rFonts w:asciiTheme="majorHAnsi" w:hAnsiTheme="majorHAnsi" w:cstheme="majorBidi"/>
          <w:color w:val="000000" w:themeColor="text1"/>
        </w:rPr>
        <w:t xml:space="preserve">. </w:t>
      </w:r>
      <w:r w:rsidR="005D240F" w:rsidRPr="007B5D9F">
        <w:rPr>
          <w:rFonts w:asciiTheme="majorHAnsi" w:hAnsiTheme="majorHAnsi" w:cstheme="majorBidi"/>
          <w:color w:val="000000" w:themeColor="text1"/>
        </w:rPr>
        <w:t xml:space="preserve">With these Restart funds </w:t>
      </w:r>
      <w:r w:rsidR="004C12EC" w:rsidRPr="007B5D9F">
        <w:rPr>
          <w:rFonts w:asciiTheme="majorHAnsi" w:hAnsiTheme="majorHAnsi" w:cstheme="majorBidi"/>
          <w:color w:val="000000" w:themeColor="text1"/>
        </w:rPr>
        <w:t xml:space="preserve">PRDE has </w:t>
      </w:r>
      <w:r w:rsidR="005D240F" w:rsidRPr="007B5D9F">
        <w:rPr>
          <w:rFonts w:asciiTheme="majorHAnsi" w:hAnsiTheme="majorHAnsi" w:cstheme="majorBidi"/>
          <w:color w:val="000000" w:themeColor="text1"/>
        </w:rPr>
        <w:t>an opportunity to restart operations in ways that stimulate, support and promote academic achievements on the Island</w:t>
      </w:r>
      <w:r w:rsidRPr="007B5D9F">
        <w:rPr>
          <w:rFonts w:asciiTheme="majorHAnsi" w:hAnsiTheme="majorHAnsi" w:cstheme="majorBidi"/>
          <w:color w:val="000000" w:themeColor="text1"/>
        </w:rPr>
        <w:t xml:space="preserve">, after the devastation caused by hurricanes Irma and Maria. </w:t>
      </w:r>
    </w:p>
    <w:p w14:paraId="74C06D39" w14:textId="77777777" w:rsidR="004C12EC" w:rsidRPr="00CC770D" w:rsidRDefault="004C12EC" w:rsidP="004C12EC">
      <w:pPr>
        <w:pStyle w:val="Default"/>
        <w:spacing w:after="9"/>
        <w:jc w:val="both"/>
        <w:rPr>
          <w:rFonts w:asciiTheme="majorHAnsi" w:hAnsiTheme="majorHAnsi" w:cstheme="majorHAnsi"/>
          <w:color w:val="000000" w:themeColor="text1"/>
          <w:sz w:val="22"/>
          <w:szCs w:val="22"/>
        </w:rPr>
      </w:pPr>
    </w:p>
    <w:p w14:paraId="152B1141" w14:textId="77777777" w:rsidR="00992FB6" w:rsidRPr="007B5D9F" w:rsidRDefault="00992FB6" w:rsidP="004C12EC">
      <w:pPr>
        <w:pStyle w:val="Heading1"/>
        <w:spacing w:line="360" w:lineRule="auto"/>
        <w:jc w:val="both"/>
        <w:rPr>
          <w:rFonts w:cstheme="majorHAnsi"/>
          <w:b/>
          <w:sz w:val="28"/>
          <w:szCs w:val="28"/>
        </w:rPr>
      </w:pPr>
      <w:r w:rsidRPr="007B5D9F">
        <w:rPr>
          <w:rFonts w:cstheme="majorHAnsi"/>
          <w:b/>
          <w:sz w:val="28"/>
          <w:szCs w:val="28"/>
        </w:rPr>
        <w:t>Restart Application Overview</w:t>
      </w:r>
    </w:p>
    <w:p w14:paraId="3041B3AB" w14:textId="77777777" w:rsidR="00C876BB" w:rsidRPr="007B5D9F" w:rsidRDefault="002F6BDA" w:rsidP="4F9E87E5">
      <w:pPr>
        <w:pStyle w:val="Default"/>
        <w:spacing w:after="9"/>
        <w:jc w:val="both"/>
        <w:rPr>
          <w:rFonts w:asciiTheme="majorHAnsi" w:hAnsiTheme="majorHAnsi" w:cstheme="majorBidi"/>
          <w:color w:val="000000" w:themeColor="text1"/>
        </w:rPr>
      </w:pPr>
      <w:r w:rsidRPr="007B5D9F">
        <w:rPr>
          <w:rFonts w:asciiTheme="majorHAnsi" w:hAnsiTheme="majorHAnsi" w:cstheme="majorBidi"/>
          <w:color w:val="000000" w:themeColor="text1"/>
        </w:rPr>
        <w:t>Hurricanes in September 2017 dramatically exacerbated already-challenging educational conditions in Puerto Rico causing student and teacher attrition, significant loss of school time by students, and damage to physical infrastructure, educational resources, equipment, and supplies in the system.</w:t>
      </w:r>
      <w:r w:rsidR="00DF3551" w:rsidRPr="007B5D9F">
        <w:rPr>
          <w:rFonts w:asciiTheme="majorHAnsi" w:hAnsiTheme="majorHAnsi" w:cstheme="majorBidi"/>
          <w:color w:val="000000" w:themeColor="text1"/>
        </w:rPr>
        <w:t xml:space="preserve"> </w:t>
      </w:r>
      <w:r w:rsidRPr="007B5D9F">
        <w:rPr>
          <w:rFonts w:asciiTheme="majorHAnsi" w:hAnsiTheme="majorHAnsi" w:cstheme="majorBidi"/>
          <w:color w:val="000000" w:themeColor="text1"/>
        </w:rPr>
        <w:t xml:space="preserve">To address the challenges created by the hurricanes, the USDE released the Restart </w:t>
      </w:r>
      <w:r w:rsidR="00C917D7" w:rsidRPr="007B5D9F">
        <w:rPr>
          <w:rFonts w:asciiTheme="majorHAnsi" w:hAnsiTheme="majorHAnsi" w:cstheme="majorBidi"/>
          <w:color w:val="000000" w:themeColor="text1"/>
        </w:rPr>
        <w:t>program</w:t>
      </w:r>
      <w:r w:rsidRPr="007B5D9F">
        <w:rPr>
          <w:rFonts w:asciiTheme="majorHAnsi" w:hAnsiTheme="majorHAnsi" w:cstheme="majorBidi"/>
          <w:color w:val="000000" w:themeColor="text1"/>
        </w:rPr>
        <w:t>, among others, in order to award funding to disaster-impacted schools and systems. Recognizing the tremend</w:t>
      </w:r>
      <w:r w:rsidR="00183A22" w:rsidRPr="007B5D9F">
        <w:rPr>
          <w:rFonts w:asciiTheme="majorHAnsi" w:hAnsiTheme="majorHAnsi" w:cstheme="majorBidi"/>
          <w:color w:val="000000" w:themeColor="text1"/>
        </w:rPr>
        <w:t>ous need Puerto Rico faces, PRDE</w:t>
      </w:r>
      <w:r w:rsidRPr="007B5D9F">
        <w:rPr>
          <w:rFonts w:asciiTheme="majorHAnsi" w:hAnsiTheme="majorHAnsi" w:cstheme="majorBidi"/>
          <w:color w:val="000000" w:themeColor="text1"/>
        </w:rPr>
        <w:t xml:space="preserve"> was awarded </w:t>
      </w:r>
      <w:r w:rsidR="00C917D7" w:rsidRPr="007B5D9F">
        <w:rPr>
          <w:rFonts w:asciiTheme="majorHAnsi" w:hAnsiTheme="majorHAnsi" w:cstheme="majorBidi"/>
          <w:color w:val="000000" w:themeColor="text1"/>
        </w:rPr>
        <w:t xml:space="preserve">with Restart funds in </w:t>
      </w:r>
      <w:r w:rsidRPr="007B5D9F">
        <w:rPr>
          <w:rFonts w:asciiTheme="majorHAnsi" w:hAnsiTheme="majorHAnsi" w:cstheme="majorBidi"/>
          <w:color w:val="000000" w:themeColor="text1"/>
        </w:rPr>
        <w:t xml:space="preserve">the spring of 2018 from this federal program </w:t>
      </w:r>
      <w:r w:rsidR="007B5D9F" w:rsidRPr="007B5D9F">
        <w:rPr>
          <w:rFonts w:asciiTheme="majorHAnsi" w:hAnsiTheme="majorHAnsi" w:cstheme="majorBidi"/>
          <w:color w:val="000000" w:themeColor="text1"/>
        </w:rPr>
        <w:t>for</w:t>
      </w:r>
      <w:r w:rsidRPr="007B5D9F">
        <w:rPr>
          <w:rFonts w:asciiTheme="majorHAnsi" w:hAnsiTheme="majorHAnsi" w:cstheme="majorBidi"/>
          <w:color w:val="000000" w:themeColor="text1"/>
        </w:rPr>
        <w:t xml:space="preserve"> restarting </w:t>
      </w:r>
      <w:r w:rsidR="007B5D9F">
        <w:rPr>
          <w:rFonts w:asciiTheme="majorHAnsi" w:hAnsiTheme="majorHAnsi" w:cstheme="majorBidi"/>
          <w:color w:val="000000" w:themeColor="text1"/>
        </w:rPr>
        <w:t xml:space="preserve">school </w:t>
      </w:r>
      <w:r w:rsidRPr="007B5D9F">
        <w:rPr>
          <w:rFonts w:asciiTheme="majorHAnsi" w:hAnsiTheme="majorHAnsi" w:cstheme="majorBidi"/>
          <w:color w:val="000000" w:themeColor="text1"/>
        </w:rPr>
        <w:t>operations</w:t>
      </w:r>
      <w:r w:rsidR="00032CBA" w:rsidRPr="007B5D9F">
        <w:rPr>
          <w:rFonts w:asciiTheme="majorHAnsi" w:hAnsiTheme="majorHAnsi" w:cstheme="majorBidi"/>
          <w:color w:val="000000" w:themeColor="text1"/>
        </w:rPr>
        <w:t>, as previously mentioned</w:t>
      </w:r>
      <w:r w:rsidRPr="007B5D9F">
        <w:rPr>
          <w:rFonts w:asciiTheme="majorHAnsi" w:hAnsiTheme="majorHAnsi" w:cstheme="majorBidi"/>
          <w:color w:val="000000" w:themeColor="text1"/>
        </w:rPr>
        <w:t>.</w:t>
      </w:r>
      <w:r w:rsidR="00BA2F00" w:rsidRPr="007B5D9F">
        <w:rPr>
          <w:rFonts w:asciiTheme="majorHAnsi" w:hAnsiTheme="majorHAnsi" w:cstheme="majorBidi"/>
          <w:color w:val="000000" w:themeColor="text1"/>
        </w:rPr>
        <w:t xml:space="preserve"> </w:t>
      </w:r>
    </w:p>
    <w:p w14:paraId="639684C8" w14:textId="77777777" w:rsidR="002F6BDA" w:rsidRPr="007B5D9F" w:rsidRDefault="002F6BDA" w:rsidP="002F6BDA">
      <w:pPr>
        <w:pStyle w:val="Default"/>
        <w:spacing w:after="9"/>
        <w:jc w:val="both"/>
        <w:rPr>
          <w:rFonts w:asciiTheme="majorHAnsi" w:hAnsiTheme="majorHAnsi" w:cstheme="majorHAnsi"/>
          <w:color w:val="000000" w:themeColor="text1"/>
        </w:rPr>
      </w:pPr>
    </w:p>
    <w:p w14:paraId="2070C872" w14:textId="77777777" w:rsidR="00A25F2B" w:rsidRPr="007B5D9F" w:rsidRDefault="002F6BDA" w:rsidP="00A646EA">
      <w:pPr>
        <w:pStyle w:val="BodyText"/>
        <w:spacing w:before="1"/>
        <w:ind w:right="113"/>
        <w:jc w:val="both"/>
        <w:rPr>
          <w:color w:val="000000" w:themeColor="text1"/>
          <w:sz w:val="24"/>
          <w:szCs w:val="24"/>
        </w:rPr>
      </w:pPr>
      <w:r w:rsidRPr="007B5D9F">
        <w:rPr>
          <w:rFonts w:asciiTheme="majorHAnsi" w:hAnsiTheme="majorHAnsi" w:cstheme="majorBidi"/>
          <w:color w:val="000000" w:themeColor="text1"/>
          <w:sz w:val="24"/>
          <w:szCs w:val="24"/>
        </w:rPr>
        <w:t xml:space="preserve">PRDE is mindful of, and does not intend, to </w:t>
      </w:r>
      <w:r w:rsidR="00E81678" w:rsidRPr="007B5D9F">
        <w:rPr>
          <w:rFonts w:asciiTheme="majorHAnsi" w:hAnsiTheme="majorHAnsi" w:cstheme="majorBidi"/>
          <w:color w:val="000000" w:themeColor="text1"/>
          <w:sz w:val="24"/>
          <w:szCs w:val="24"/>
        </w:rPr>
        <w:t>use</w:t>
      </w:r>
      <w:r w:rsidRPr="007B5D9F">
        <w:rPr>
          <w:rFonts w:asciiTheme="majorHAnsi" w:hAnsiTheme="majorHAnsi" w:cstheme="majorBidi"/>
          <w:color w:val="000000" w:themeColor="text1"/>
          <w:sz w:val="24"/>
          <w:szCs w:val="24"/>
        </w:rPr>
        <w:t xml:space="preserve"> Restart funds for any expenditure that is covered under anoth</w:t>
      </w:r>
      <w:r w:rsidR="00DF3551" w:rsidRPr="007B5D9F">
        <w:rPr>
          <w:rFonts w:asciiTheme="majorHAnsi" w:hAnsiTheme="majorHAnsi" w:cstheme="majorBidi"/>
          <w:color w:val="000000" w:themeColor="text1"/>
          <w:sz w:val="24"/>
          <w:szCs w:val="24"/>
        </w:rPr>
        <w:t xml:space="preserve">er source of available funding. </w:t>
      </w:r>
      <w:r w:rsidRPr="007B5D9F">
        <w:rPr>
          <w:rFonts w:asciiTheme="majorHAnsi" w:hAnsiTheme="majorHAnsi" w:cstheme="majorBidi"/>
          <w:color w:val="000000" w:themeColor="text1"/>
          <w:sz w:val="24"/>
          <w:szCs w:val="24"/>
        </w:rPr>
        <w:t xml:space="preserve">PRDE is diligently working with its federal and local partners to utilize not only commercial insurance proceeds, but also the other federal disaster grant programs which are intended to fund the reconstruction of our buildings and resources. </w:t>
      </w:r>
      <w:r w:rsidR="00B30C7B" w:rsidRPr="007B5D9F">
        <w:rPr>
          <w:rFonts w:asciiTheme="majorHAnsi" w:hAnsiTheme="majorHAnsi" w:cstheme="majorBidi"/>
          <w:color w:val="000000" w:themeColor="text1"/>
          <w:sz w:val="24"/>
          <w:szCs w:val="24"/>
        </w:rPr>
        <w:t>We understand very clearly that these funds must be used to supplement and not supplant any other funding source.</w:t>
      </w:r>
      <w:r w:rsidR="00DF3551" w:rsidRPr="007B5D9F">
        <w:rPr>
          <w:rFonts w:asciiTheme="majorHAnsi" w:hAnsiTheme="majorHAnsi" w:cstheme="majorBidi"/>
          <w:color w:val="000000" w:themeColor="text1"/>
          <w:sz w:val="24"/>
          <w:szCs w:val="24"/>
        </w:rPr>
        <w:t xml:space="preserve"> </w:t>
      </w:r>
      <w:r w:rsidR="00A646EA" w:rsidRPr="007B5D9F">
        <w:rPr>
          <w:color w:val="000000" w:themeColor="text1"/>
          <w:sz w:val="24"/>
          <w:szCs w:val="24"/>
        </w:rPr>
        <w:t xml:space="preserve">Accordingly, the efforts are being coordinated with the Office of the Secretary </w:t>
      </w:r>
      <w:r w:rsidR="00E81678" w:rsidRPr="007B5D9F">
        <w:rPr>
          <w:color w:val="000000" w:themeColor="text1"/>
          <w:sz w:val="24"/>
          <w:szCs w:val="24"/>
        </w:rPr>
        <w:t xml:space="preserve">of Education </w:t>
      </w:r>
      <w:r w:rsidR="00A646EA" w:rsidRPr="007B5D9F">
        <w:rPr>
          <w:color w:val="000000" w:themeColor="text1"/>
          <w:sz w:val="24"/>
          <w:szCs w:val="24"/>
        </w:rPr>
        <w:t>to assure that funds from other federal programs and/or insurance are</w:t>
      </w:r>
      <w:r w:rsidR="00C9324D" w:rsidRPr="007B5D9F">
        <w:rPr>
          <w:color w:val="000000" w:themeColor="text1"/>
          <w:sz w:val="24"/>
          <w:szCs w:val="24"/>
        </w:rPr>
        <w:t xml:space="preserve"> not</w:t>
      </w:r>
      <w:r w:rsidR="00A646EA" w:rsidRPr="007B5D9F">
        <w:rPr>
          <w:color w:val="000000" w:themeColor="text1"/>
          <w:sz w:val="24"/>
          <w:szCs w:val="24"/>
        </w:rPr>
        <w:t xml:space="preserve"> being </w:t>
      </w:r>
      <w:r w:rsidR="00E81678" w:rsidRPr="007B5D9F">
        <w:rPr>
          <w:color w:val="000000" w:themeColor="text1"/>
          <w:sz w:val="24"/>
          <w:szCs w:val="24"/>
        </w:rPr>
        <w:t xml:space="preserve">used </w:t>
      </w:r>
      <w:r w:rsidR="00A646EA" w:rsidRPr="007B5D9F">
        <w:rPr>
          <w:color w:val="000000" w:themeColor="text1"/>
          <w:sz w:val="24"/>
          <w:szCs w:val="24"/>
        </w:rPr>
        <w:t>for the same initiatives.</w:t>
      </w:r>
      <w:r w:rsidR="00A25F2B" w:rsidRPr="007B5D9F">
        <w:rPr>
          <w:color w:val="000000" w:themeColor="text1"/>
          <w:sz w:val="24"/>
          <w:szCs w:val="24"/>
        </w:rPr>
        <w:t xml:space="preserve"> Additionally, all funds will be used for allowable Restart purposes to provide services or assistance to eligible public and private schools in Puerto Rico as outlined in PRDE’s Funding Plan (subject to USDE’s final approval).</w:t>
      </w:r>
    </w:p>
    <w:p w14:paraId="21C68473" w14:textId="77777777" w:rsidR="00026912" w:rsidRPr="00CC770D" w:rsidRDefault="00026912" w:rsidP="002F6BDA">
      <w:pPr>
        <w:pStyle w:val="Default"/>
        <w:spacing w:after="9"/>
        <w:jc w:val="both"/>
        <w:rPr>
          <w:rFonts w:asciiTheme="majorHAnsi" w:hAnsiTheme="majorHAnsi" w:cstheme="majorHAnsi"/>
          <w:color w:val="000000" w:themeColor="text1"/>
          <w:sz w:val="22"/>
          <w:szCs w:val="22"/>
        </w:rPr>
      </w:pPr>
    </w:p>
    <w:p w14:paraId="57D3EABF" w14:textId="77777777" w:rsidR="00992FB6" w:rsidRPr="007B5D9F" w:rsidRDefault="00992FB6" w:rsidP="00992FB6">
      <w:pPr>
        <w:pStyle w:val="Heading1"/>
        <w:spacing w:line="360" w:lineRule="auto"/>
        <w:jc w:val="both"/>
        <w:rPr>
          <w:rFonts w:cstheme="majorHAnsi"/>
          <w:b/>
          <w:sz w:val="28"/>
          <w:szCs w:val="28"/>
        </w:rPr>
      </w:pPr>
      <w:r w:rsidRPr="007B5D9F">
        <w:rPr>
          <w:rFonts w:cstheme="majorHAnsi"/>
          <w:b/>
          <w:sz w:val="28"/>
          <w:szCs w:val="28"/>
        </w:rPr>
        <w:lastRenderedPageBreak/>
        <w:t>Deployment of Restart Grant Funds</w:t>
      </w:r>
    </w:p>
    <w:p w14:paraId="77E17959" w14:textId="69C39AA8" w:rsidR="00992FB6" w:rsidRPr="007B5D9F" w:rsidRDefault="00183A22" w:rsidP="4F9E87E5">
      <w:pPr>
        <w:pStyle w:val="Default"/>
        <w:spacing w:after="9"/>
        <w:jc w:val="both"/>
        <w:rPr>
          <w:rFonts w:asciiTheme="majorHAnsi" w:hAnsiTheme="majorHAnsi" w:cstheme="majorBidi"/>
          <w:color w:val="000000" w:themeColor="text1"/>
        </w:rPr>
      </w:pPr>
      <w:r w:rsidRPr="007B5D9F">
        <w:rPr>
          <w:rFonts w:asciiTheme="majorHAnsi" w:hAnsiTheme="majorHAnsi" w:cstheme="majorBidi"/>
          <w:color w:val="000000" w:themeColor="text1"/>
        </w:rPr>
        <w:t xml:space="preserve">The </w:t>
      </w:r>
      <w:r w:rsidR="009F1618" w:rsidRPr="007B5D9F">
        <w:rPr>
          <w:rFonts w:asciiTheme="majorHAnsi" w:hAnsiTheme="majorHAnsi" w:cstheme="majorBidi"/>
          <w:color w:val="000000" w:themeColor="text1"/>
        </w:rPr>
        <w:t xml:space="preserve">PRDE is a unitary system serving as both the state education agency (SEA) and a local </w:t>
      </w:r>
      <w:r w:rsidR="007802DE" w:rsidRPr="007B5D9F">
        <w:rPr>
          <w:rFonts w:asciiTheme="majorHAnsi" w:hAnsiTheme="majorHAnsi" w:cstheme="majorBidi"/>
          <w:color w:val="000000" w:themeColor="text1"/>
        </w:rPr>
        <w:t xml:space="preserve">education agency (LEA), </w:t>
      </w:r>
      <w:r w:rsidR="00FA7C58" w:rsidRPr="007B5D9F">
        <w:rPr>
          <w:rFonts w:asciiTheme="majorHAnsi" w:hAnsiTheme="majorHAnsi" w:cstheme="majorBidi"/>
          <w:color w:val="000000" w:themeColor="text1"/>
        </w:rPr>
        <w:t>which means</w:t>
      </w:r>
      <w:r w:rsidR="00611671">
        <w:rPr>
          <w:rFonts w:asciiTheme="majorHAnsi" w:hAnsiTheme="majorHAnsi" w:cstheme="majorBidi"/>
          <w:color w:val="000000" w:themeColor="text1"/>
        </w:rPr>
        <w:t xml:space="preserve"> </w:t>
      </w:r>
      <w:r w:rsidR="009F1618" w:rsidRPr="007B5D9F">
        <w:rPr>
          <w:rFonts w:asciiTheme="majorHAnsi" w:hAnsiTheme="majorHAnsi" w:cstheme="majorBidi"/>
          <w:color w:val="000000" w:themeColor="text1"/>
        </w:rPr>
        <w:t>PRDE oversees one island-wide education sys</w:t>
      </w:r>
      <w:r w:rsidR="00DF3551" w:rsidRPr="007B5D9F">
        <w:rPr>
          <w:rFonts w:asciiTheme="majorHAnsi" w:hAnsiTheme="majorHAnsi" w:cstheme="majorBidi"/>
          <w:color w:val="000000" w:themeColor="text1"/>
        </w:rPr>
        <w:t xml:space="preserve">tem. </w:t>
      </w:r>
      <w:r w:rsidR="009F1618" w:rsidRPr="007B5D9F">
        <w:rPr>
          <w:rFonts w:asciiTheme="majorHAnsi" w:hAnsiTheme="majorHAnsi" w:cstheme="majorBidi"/>
          <w:color w:val="000000" w:themeColor="text1"/>
        </w:rPr>
        <w:t>From the SEA perspective, PRDE’s Central Level develops policies and guidelines, provides materials and technical assistance, engages in oversight and monitoring and provides lead</w:t>
      </w:r>
      <w:r w:rsidR="00333BCD" w:rsidRPr="007B5D9F">
        <w:rPr>
          <w:rFonts w:asciiTheme="majorHAnsi" w:hAnsiTheme="majorHAnsi" w:cstheme="majorBidi"/>
          <w:color w:val="000000" w:themeColor="text1"/>
        </w:rPr>
        <w:t>ership to all schools</w:t>
      </w:r>
      <w:r w:rsidR="4F9E87E5" w:rsidRPr="007B5D9F">
        <w:rPr>
          <w:rFonts w:asciiTheme="majorHAnsi" w:hAnsiTheme="majorHAnsi" w:cstheme="majorBidi"/>
          <w:color w:val="000000" w:themeColor="text1"/>
        </w:rPr>
        <w:t>, schools municipalities,</w:t>
      </w:r>
      <w:r w:rsidR="00333BCD" w:rsidRPr="007B5D9F">
        <w:rPr>
          <w:rFonts w:asciiTheme="majorHAnsi" w:hAnsiTheme="majorHAnsi" w:cstheme="majorBidi"/>
          <w:color w:val="000000" w:themeColor="text1"/>
        </w:rPr>
        <w:t xml:space="preserve"> and Regions</w:t>
      </w:r>
      <w:r w:rsidR="00DF3551" w:rsidRPr="007B5D9F">
        <w:rPr>
          <w:rFonts w:asciiTheme="majorHAnsi" w:hAnsiTheme="majorHAnsi" w:cstheme="majorBidi"/>
          <w:color w:val="000000" w:themeColor="text1"/>
        </w:rPr>
        <w:t xml:space="preserve">. </w:t>
      </w:r>
      <w:r w:rsidR="009F1618" w:rsidRPr="007B5D9F">
        <w:rPr>
          <w:rFonts w:asciiTheme="majorHAnsi" w:hAnsiTheme="majorHAnsi" w:cstheme="majorBidi"/>
          <w:color w:val="000000" w:themeColor="text1"/>
        </w:rPr>
        <w:t>From the LEA perspective, PRDE provides direct services to schools and ensures the implementation o</w:t>
      </w:r>
      <w:r w:rsidR="00DF3551" w:rsidRPr="007B5D9F">
        <w:rPr>
          <w:rFonts w:asciiTheme="majorHAnsi" w:hAnsiTheme="majorHAnsi" w:cstheme="majorBidi"/>
          <w:color w:val="000000" w:themeColor="text1"/>
        </w:rPr>
        <w:t xml:space="preserve">f SEA level policies. </w:t>
      </w:r>
      <w:r w:rsidR="009F1618" w:rsidRPr="007B5D9F">
        <w:rPr>
          <w:rFonts w:asciiTheme="majorHAnsi" w:hAnsiTheme="majorHAnsi" w:cstheme="majorBidi"/>
          <w:color w:val="000000" w:themeColor="text1"/>
        </w:rPr>
        <w:t xml:space="preserve">Although </w:t>
      </w:r>
      <w:r w:rsidR="00333BCD" w:rsidRPr="007B5D9F">
        <w:rPr>
          <w:rFonts w:asciiTheme="majorHAnsi" w:hAnsiTheme="majorHAnsi" w:cstheme="majorBidi"/>
          <w:color w:val="000000" w:themeColor="text1"/>
        </w:rPr>
        <w:t>PRDE uses the term “Regions</w:t>
      </w:r>
      <w:r w:rsidR="009F1618" w:rsidRPr="007B5D9F">
        <w:rPr>
          <w:rFonts w:asciiTheme="majorHAnsi" w:hAnsiTheme="majorHAnsi" w:cstheme="majorBidi"/>
          <w:color w:val="000000" w:themeColor="text1"/>
        </w:rPr>
        <w:t xml:space="preserve">,” these entities are not LEAs and do not have </w:t>
      </w:r>
      <w:r w:rsidR="00B113ED" w:rsidRPr="007B5D9F">
        <w:rPr>
          <w:rFonts w:asciiTheme="majorHAnsi" w:hAnsiTheme="majorHAnsi" w:cstheme="majorBidi"/>
          <w:color w:val="000000" w:themeColor="text1"/>
        </w:rPr>
        <w:t>absolute</w:t>
      </w:r>
      <w:r w:rsidR="4F9E87E5" w:rsidRPr="007B5D9F">
        <w:rPr>
          <w:rFonts w:asciiTheme="majorHAnsi" w:hAnsiTheme="majorHAnsi" w:cstheme="majorBidi"/>
          <w:color w:val="000000" w:themeColor="text1"/>
        </w:rPr>
        <w:t xml:space="preserve"> </w:t>
      </w:r>
      <w:r w:rsidR="009F1618" w:rsidRPr="007B5D9F">
        <w:rPr>
          <w:rFonts w:asciiTheme="majorHAnsi" w:hAnsiTheme="majorHAnsi" w:cstheme="majorBidi"/>
          <w:color w:val="000000" w:themeColor="text1"/>
        </w:rPr>
        <w:t xml:space="preserve">autonomous decision-making authority, nor do they have fiscal independence. </w:t>
      </w:r>
    </w:p>
    <w:p w14:paraId="1FF954FA" w14:textId="77777777" w:rsidR="00B50049" w:rsidRPr="007B5D9F" w:rsidRDefault="00B50049" w:rsidP="009F1618">
      <w:pPr>
        <w:pStyle w:val="Default"/>
        <w:spacing w:after="9"/>
        <w:jc w:val="both"/>
        <w:rPr>
          <w:rFonts w:asciiTheme="majorHAnsi" w:hAnsiTheme="majorHAnsi" w:cstheme="majorHAnsi"/>
          <w:color w:val="000000" w:themeColor="text1"/>
        </w:rPr>
      </w:pPr>
    </w:p>
    <w:p w14:paraId="3B3DC839" w14:textId="77777777" w:rsidR="00D40E89" w:rsidRPr="007B5D9F" w:rsidRDefault="4093036A" w:rsidP="4093036A">
      <w:pPr>
        <w:pStyle w:val="Default"/>
        <w:spacing w:after="9"/>
        <w:jc w:val="both"/>
        <w:rPr>
          <w:rFonts w:asciiTheme="majorHAnsi" w:hAnsiTheme="majorHAnsi" w:cstheme="majorBidi"/>
          <w:color w:val="000000" w:themeColor="text1"/>
        </w:rPr>
      </w:pPr>
      <w:r w:rsidRPr="007B5D9F">
        <w:rPr>
          <w:rFonts w:asciiTheme="majorHAnsi" w:hAnsiTheme="majorHAnsi" w:cstheme="majorBidi"/>
          <w:color w:val="000000" w:themeColor="text1"/>
        </w:rPr>
        <w:t xml:space="preserve">In this context and given the grant conditions associated with the Restart funding, all goods and services will be procured and paid for by PRDE centrally utilizing the policies, procedures, and internal controls which are </w:t>
      </w:r>
      <w:r w:rsidR="000D1472" w:rsidRPr="007B5D9F">
        <w:rPr>
          <w:rFonts w:asciiTheme="majorHAnsi" w:hAnsiTheme="majorHAnsi" w:cstheme="majorBidi"/>
          <w:color w:val="000000" w:themeColor="text1"/>
        </w:rPr>
        <w:t xml:space="preserve">used </w:t>
      </w:r>
      <w:r w:rsidRPr="007B5D9F">
        <w:rPr>
          <w:rFonts w:asciiTheme="majorHAnsi" w:hAnsiTheme="majorHAnsi" w:cstheme="majorBidi"/>
          <w:color w:val="000000" w:themeColor="text1"/>
        </w:rPr>
        <w:t>for all of our federally funded activities</w:t>
      </w:r>
      <w:r w:rsidR="0061096D" w:rsidRPr="007B5D9F">
        <w:rPr>
          <w:rFonts w:asciiTheme="majorHAnsi" w:hAnsiTheme="majorHAnsi" w:cstheme="majorBidi"/>
          <w:color w:val="000000" w:themeColor="text1"/>
        </w:rPr>
        <w:t xml:space="preserve">; except for the </w:t>
      </w:r>
      <w:r w:rsidR="009B270D" w:rsidRPr="007B5D9F">
        <w:rPr>
          <w:rFonts w:asciiTheme="majorHAnsi" w:hAnsiTheme="majorHAnsi" w:cstheme="majorBidi"/>
          <w:color w:val="000000" w:themeColor="text1"/>
        </w:rPr>
        <w:t>ones related to the Restart School Plan (we will provide additional detail</w:t>
      </w:r>
      <w:r w:rsidR="006A4FED" w:rsidRPr="007B5D9F">
        <w:rPr>
          <w:rFonts w:asciiTheme="majorHAnsi" w:hAnsiTheme="majorHAnsi" w:cstheme="majorBidi"/>
          <w:color w:val="000000" w:themeColor="text1"/>
        </w:rPr>
        <w:t>s</w:t>
      </w:r>
      <w:r w:rsidR="009B270D" w:rsidRPr="007B5D9F">
        <w:rPr>
          <w:rFonts w:asciiTheme="majorHAnsi" w:hAnsiTheme="majorHAnsi" w:cstheme="majorBidi"/>
          <w:color w:val="000000" w:themeColor="text1"/>
        </w:rPr>
        <w:t xml:space="preserve"> on this</w:t>
      </w:r>
      <w:r w:rsidR="006A4FED" w:rsidRPr="007B5D9F">
        <w:rPr>
          <w:rFonts w:asciiTheme="majorHAnsi" w:hAnsiTheme="majorHAnsi" w:cstheme="majorBidi"/>
          <w:color w:val="000000" w:themeColor="text1"/>
        </w:rPr>
        <w:t xml:space="preserve"> within the following section: Central Level – Fiscal &amp; Procurement Internal Controls, Policies, and Proce</w:t>
      </w:r>
      <w:r w:rsidR="006B2E71" w:rsidRPr="007B5D9F">
        <w:rPr>
          <w:rFonts w:asciiTheme="majorHAnsi" w:hAnsiTheme="majorHAnsi" w:cstheme="majorBidi"/>
          <w:color w:val="000000" w:themeColor="text1"/>
        </w:rPr>
        <w:t>dures)</w:t>
      </w:r>
      <w:r w:rsidRPr="007B5D9F">
        <w:rPr>
          <w:rFonts w:asciiTheme="majorHAnsi" w:hAnsiTheme="majorHAnsi" w:cstheme="majorBidi"/>
          <w:color w:val="000000" w:themeColor="text1"/>
        </w:rPr>
        <w:t xml:space="preserve">. </w:t>
      </w:r>
    </w:p>
    <w:p w14:paraId="4C36FE89" w14:textId="77777777" w:rsidR="00D40E89" w:rsidRPr="007B5D9F" w:rsidRDefault="00D40E89" w:rsidP="4093036A">
      <w:pPr>
        <w:pStyle w:val="Default"/>
        <w:spacing w:after="9"/>
        <w:jc w:val="both"/>
        <w:rPr>
          <w:rFonts w:asciiTheme="majorHAnsi" w:hAnsiTheme="majorHAnsi" w:cstheme="majorBidi"/>
          <w:color w:val="000000" w:themeColor="text1"/>
        </w:rPr>
      </w:pPr>
    </w:p>
    <w:p w14:paraId="74CFA0B6" w14:textId="6F148CF6" w:rsidR="007802DE" w:rsidRPr="007B5D9F" w:rsidRDefault="00813C32" w:rsidP="009F1618">
      <w:pPr>
        <w:pStyle w:val="Default"/>
        <w:spacing w:after="9"/>
        <w:jc w:val="both"/>
        <w:rPr>
          <w:rFonts w:asciiTheme="majorHAnsi" w:hAnsiTheme="majorHAnsi" w:cstheme="majorHAnsi"/>
          <w:color w:val="000000" w:themeColor="text1"/>
        </w:rPr>
      </w:pPr>
      <w:r w:rsidRPr="007B5D9F">
        <w:rPr>
          <w:rFonts w:asciiTheme="majorHAnsi" w:hAnsiTheme="majorHAnsi" w:cstheme="majorBidi"/>
          <w:color w:val="000000" w:themeColor="text1"/>
        </w:rPr>
        <w:t>For private schools, the a</w:t>
      </w:r>
      <w:r w:rsidR="4093036A" w:rsidRPr="007B5D9F">
        <w:rPr>
          <w:rFonts w:asciiTheme="majorHAnsi" w:hAnsiTheme="majorHAnsi" w:cstheme="majorBidi"/>
          <w:color w:val="000000" w:themeColor="text1"/>
        </w:rPr>
        <w:t xml:space="preserve">ssets and services purchased </w:t>
      </w:r>
      <w:r w:rsidR="000D1472" w:rsidRPr="007B5D9F">
        <w:rPr>
          <w:rFonts w:asciiTheme="majorHAnsi" w:hAnsiTheme="majorHAnsi" w:cstheme="majorBidi"/>
          <w:color w:val="000000" w:themeColor="text1"/>
        </w:rPr>
        <w:t xml:space="preserve">using </w:t>
      </w:r>
      <w:r w:rsidR="4093036A" w:rsidRPr="007B5D9F">
        <w:rPr>
          <w:rFonts w:asciiTheme="majorHAnsi" w:hAnsiTheme="majorHAnsi" w:cstheme="majorBidi"/>
          <w:color w:val="000000" w:themeColor="text1"/>
        </w:rPr>
        <w:t xml:space="preserve">Restart funds will also be allocated and distributed in accordance with these normal processes and guidelines. PRDE will retain title </w:t>
      </w:r>
      <w:r w:rsidR="000D1472" w:rsidRPr="007B5D9F">
        <w:rPr>
          <w:rFonts w:asciiTheme="majorHAnsi" w:hAnsiTheme="majorHAnsi" w:cstheme="majorBidi"/>
          <w:color w:val="000000" w:themeColor="text1"/>
        </w:rPr>
        <w:t xml:space="preserve">of </w:t>
      </w:r>
      <w:r w:rsidR="4093036A" w:rsidRPr="007B5D9F">
        <w:rPr>
          <w:rFonts w:asciiTheme="majorHAnsi" w:hAnsiTheme="majorHAnsi" w:cstheme="majorBidi"/>
          <w:color w:val="000000" w:themeColor="text1"/>
        </w:rPr>
        <w:t>all goods purchased and provided through the</w:t>
      </w:r>
      <w:r w:rsidR="000D1472" w:rsidRPr="007B5D9F">
        <w:rPr>
          <w:rFonts w:asciiTheme="majorHAnsi" w:hAnsiTheme="majorHAnsi" w:cstheme="majorBidi"/>
          <w:color w:val="000000" w:themeColor="text1"/>
        </w:rPr>
        <w:t xml:space="preserve"> Restart</w:t>
      </w:r>
      <w:r w:rsidR="4093036A" w:rsidRPr="007B5D9F">
        <w:rPr>
          <w:rFonts w:asciiTheme="majorHAnsi" w:hAnsiTheme="majorHAnsi" w:cstheme="majorBidi"/>
          <w:color w:val="000000" w:themeColor="text1"/>
        </w:rPr>
        <w:t xml:space="preserve"> program.</w:t>
      </w:r>
      <w:r w:rsidR="00BC5F93">
        <w:rPr>
          <w:rFonts w:asciiTheme="majorHAnsi" w:hAnsiTheme="majorHAnsi" w:cstheme="majorBidi"/>
          <w:color w:val="000000" w:themeColor="text1"/>
        </w:rPr>
        <w:t xml:space="preserve"> PRDE has a process in place to sign agreements with each of the private schools that are participating from Restart program to document the retainment of title of goods purchased or reimbursed to the school. </w:t>
      </w:r>
      <w:r w:rsidR="00D40E89" w:rsidRPr="007B5D9F">
        <w:rPr>
          <w:rFonts w:asciiTheme="majorHAnsi" w:hAnsiTheme="majorHAnsi" w:cstheme="majorHAnsi"/>
          <w:color w:val="000000" w:themeColor="text1"/>
        </w:rPr>
        <w:t xml:space="preserve"> </w:t>
      </w:r>
    </w:p>
    <w:p w14:paraId="5C55693E" w14:textId="77777777" w:rsidR="00D60BC4" w:rsidRPr="007B5D9F" w:rsidRDefault="00D60BC4" w:rsidP="009F1618">
      <w:pPr>
        <w:pStyle w:val="Default"/>
        <w:spacing w:after="9"/>
        <w:jc w:val="both"/>
        <w:rPr>
          <w:rFonts w:asciiTheme="majorHAnsi" w:hAnsiTheme="majorHAnsi" w:cstheme="majorHAnsi"/>
          <w:color w:val="000000" w:themeColor="text1"/>
        </w:rPr>
      </w:pPr>
    </w:p>
    <w:p w14:paraId="53B34491" w14:textId="519CE818" w:rsidR="00B50049" w:rsidRDefault="00A852E7" w:rsidP="009F1618">
      <w:pPr>
        <w:pStyle w:val="Default"/>
        <w:spacing w:after="9"/>
        <w:jc w:val="both"/>
        <w:rPr>
          <w:rFonts w:asciiTheme="majorHAnsi" w:hAnsiTheme="majorHAnsi" w:cstheme="majorHAnsi"/>
          <w:b/>
          <w:color w:val="000000" w:themeColor="text1"/>
        </w:rPr>
      </w:pPr>
      <w:r>
        <w:rPr>
          <w:rFonts w:asciiTheme="majorHAnsi" w:hAnsiTheme="majorHAnsi" w:cstheme="majorHAnsi"/>
          <w:color w:val="000000" w:themeColor="text1"/>
        </w:rPr>
        <w:t>N</w:t>
      </w:r>
      <w:r w:rsidR="00193ADE" w:rsidRPr="007B5D9F">
        <w:rPr>
          <w:rFonts w:asciiTheme="majorHAnsi" w:hAnsiTheme="majorHAnsi" w:cstheme="majorHAnsi"/>
          <w:color w:val="000000" w:themeColor="text1"/>
        </w:rPr>
        <w:t xml:space="preserve">on-profit </w:t>
      </w:r>
      <w:r w:rsidR="00D60BC4" w:rsidRPr="007B5D9F">
        <w:rPr>
          <w:rFonts w:asciiTheme="majorHAnsi" w:hAnsiTheme="majorHAnsi" w:cstheme="majorHAnsi"/>
          <w:color w:val="000000" w:themeColor="text1"/>
        </w:rPr>
        <w:t xml:space="preserve">private schools and their principals </w:t>
      </w:r>
      <w:r>
        <w:rPr>
          <w:rFonts w:asciiTheme="majorHAnsi" w:hAnsiTheme="majorHAnsi" w:cstheme="majorHAnsi"/>
          <w:color w:val="000000" w:themeColor="text1"/>
        </w:rPr>
        <w:t>completed</w:t>
      </w:r>
      <w:r w:rsidR="00D60BC4" w:rsidRPr="007B5D9F">
        <w:rPr>
          <w:rFonts w:asciiTheme="majorHAnsi" w:hAnsiTheme="majorHAnsi" w:cstheme="majorHAnsi"/>
          <w:color w:val="000000" w:themeColor="text1"/>
        </w:rPr>
        <w:t xml:space="preserve"> a need</w:t>
      </w:r>
      <w:r w:rsidR="00E4790D">
        <w:rPr>
          <w:rFonts w:asciiTheme="majorHAnsi" w:hAnsiTheme="majorHAnsi" w:cstheme="majorHAnsi"/>
          <w:color w:val="000000" w:themeColor="text1"/>
        </w:rPr>
        <w:t>’</w:t>
      </w:r>
      <w:r w:rsidR="00D60BC4" w:rsidRPr="007B5D9F">
        <w:rPr>
          <w:rFonts w:asciiTheme="majorHAnsi" w:hAnsiTheme="majorHAnsi" w:cstheme="majorHAnsi"/>
          <w:color w:val="000000" w:themeColor="text1"/>
        </w:rPr>
        <w:t>s assessment</w:t>
      </w:r>
      <w:r w:rsidR="00E4790D">
        <w:rPr>
          <w:rFonts w:asciiTheme="majorHAnsi" w:hAnsiTheme="majorHAnsi" w:cstheme="majorHAnsi"/>
          <w:color w:val="000000" w:themeColor="text1"/>
        </w:rPr>
        <w:t>/application</w:t>
      </w:r>
      <w:r w:rsidR="00D60BC4" w:rsidRPr="007B5D9F">
        <w:rPr>
          <w:rFonts w:asciiTheme="majorHAnsi" w:hAnsiTheme="majorHAnsi" w:cstheme="majorHAnsi"/>
          <w:color w:val="000000" w:themeColor="text1"/>
        </w:rPr>
        <w:t>. Based on the</w:t>
      </w:r>
      <w:r w:rsidR="00E4790D">
        <w:rPr>
          <w:rFonts w:asciiTheme="majorHAnsi" w:hAnsiTheme="majorHAnsi" w:cstheme="majorHAnsi"/>
          <w:color w:val="000000" w:themeColor="text1"/>
        </w:rPr>
        <w:t xml:space="preserve"> need’s assessment/application submitted to PRDE by each of the participant private schools, the Agency provides the assistance needed, after a thorough evaluation.</w:t>
      </w:r>
      <w:r w:rsidR="00D60BC4" w:rsidRPr="007B5D9F">
        <w:rPr>
          <w:rFonts w:asciiTheme="majorHAnsi" w:hAnsiTheme="majorHAnsi" w:cstheme="majorHAnsi"/>
          <w:color w:val="000000" w:themeColor="text1"/>
        </w:rPr>
        <w:t xml:space="preserve"> It is important to point out that, for private schools, PRDE would use Restart funds to reimburse a non-public school for secular, neutral and non-ideological </w:t>
      </w:r>
      <w:r w:rsidR="00A96AD5" w:rsidRPr="007B5D9F">
        <w:rPr>
          <w:rFonts w:asciiTheme="majorHAnsi" w:hAnsiTheme="majorHAnsi" w:cstheme="majorHAnsi"/>
          <w:color w:val="000000" w:themeColor="text1"/>
        </w:rPr>
        <w:t>allowable services or activities</w:t>
      </w:r>
      <w:r w:rsidR="00E4790D">
        <w:rPr>
          <w:rFonts w:asciiTheme="majorHAnsi" w:hAnsiTheme="majorHAnsi" w:cstheme="majorHAnsi"/>
          <w:color w:val="000000" w:themeColor="text1"/>
        </w:rPr>
        <w:t xml:space="preserve"> following the program guidance and having all necessary supporting documentation</w:t>
      </w:r>
      <w:r w:rsidR="00A96AD5" w:rsidRPr="007B5D9F">
        <w:rPr>
          <w:rFonts w:asciiTheme="majorHAnsi" w:hAnsiTheme="majorHAnsi" w:cstheme="majorHAnsi"/>
          <w:color w:val="000000" w:themeColor="text1"/>
        </w:rPr>
        <w:t>.</w:t>
      </w:r>
      <w:r w:rsidR="00A96AD5" w:rsidRPr="007B5D9F">
        <w:rPr>
          <w:rFonts w:asciiTheme="majorHAnsi" w:hAnsiTheme="majorHAnsi" w:cstheme="majorHAnsi"/>
          <w:b/>
          <w:color w:val="000000" w:themeColor="text1"/>
        </w:rPr>
        <w:t xml:space="preserve"> </w:t>
      </w:r>
    </w:p>
    <w:p w14:paraId="1F5A4EBC" w14:textId="77777777" w:rsidR="007B5D9F" w:rsidRDefault="007B5D9F" w:rsidP="009F1618">
      <w:pPr>
        <w:pStyle w:val="Default"/>
        <w:spacing w:after="9"/>
        <w:jc w:val="both"/>
        <w:rPr>
          <w:rFonts w:asciiTheme="majorHAnsi" w:hAnsiTheme="majorHAnsi" w:cstheme="majorHAnsi"/>
          <w:b/>
          <w:color w:val="000000" w:themeColor="text1"/>
        </w:rPr>
      </w:pPr>
    </w:p>
    <w:p w14:paraId="668B56E4" w14:textId="77777777" w:rsidR="00F54322" w:rsidRPr="006C7902" w:rsidRDefault="00F54322" w:rsidP="005B5C47">
      <w:pPr>
        <w:pStyle w:val="Heading1"/>
        <w:rPr>
          <w:b/>
          <w:sz w:val="28"/>
          <w:szCs w:val="28"/>
        </w:rPr>
      </w:pPr>
      <w:r w:rsidRPr="006C7902">
        <w:rPr>
          <w:b/>
          <w:sz w:val="28"/>
          <w:szCs w:val="28"/>
        </w:rPr>
        <w:t>Federal Regulations Overview</w:t>
      </w:r>
    </w:p>
    <w:p w14:paraId="0A914571" w14:textId="77777777" w:rsidR="00F54322" w:rsidRPr="007B5D9F" w:rsidRDefault="00F54322" w:rsidP="00A852E7">
      <w:pPr>
        <w:pStyle w:val="Heading2"/>
      </w:pPr>
      <w:r w:rsidRPr="007B5D9F">
        <w:t>Internal control</w:t>
      </w:r>
      <w:r w:rsidRPr="004A1115">
        <w:t>s</w:t>
      </w:r>
      <w:r w:rsidRPr="004A1115">
        <w:rPr>
          <w:rStyle w:val="FootnoteReference"/>
          <w:rFonts w:cstheme="majorHAnsi"/>
          <w:color w:val="auto"/>
        </w:rPr>
        <w:footnoteReference w:id="4"/>
      </w:r>
    </w:p>
    <w:p w14:paraId="0221C703" w14:textId="77777777" w:rsidR="00F54322" w:rsidRPr="00293649" w:rsidRDefault="00F54322" w:rsidP="00F54322">
      <w:pPr>
        <w:jc w:val="both"/>
        <w:rPr>
          <w:rFonts w:asciiTheme="majorHAnsi" w:hAnsiTheme="majorHAnsi" w:cstheme="majorHAnsi"/>
        </w:rPr>
      </w:pPr>
      <w:r w:rsidRPr="00293649">
        <w:rPr>
          <w:rFonts w:asciiTheme="majorHAnsi" w:hAnsiTheme="majorHAnsi" w:cstheme="majorHAnsi"/>
        </w:rPr>
        <w:t xml:space="preserve">Recipients of Federal funds should be familiar with the internal control requirements detailed in Title 2 of the Code of Federal Regulations, or CFR Part 200, which outlines the uniform administrative requirements, cost principles, and audit requirements. In addition, recipients should look for grant guidance in Title 34 of the CFR, Parts 75 through 79, Parts 81 through 84, Part 86, and Parts 97 through 99. Title 2 of the CFR Part 200, which applies to all grants made on or after December 26, 2014, elevates the role of internal controls in grants management. Specifically, 2 CFR 200.303(a) requires grantees to "establish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w:t>
      </w:r>
      <w:r w:rsidRPr="00293649">
        <w:rPr>
          <w:rFonts w:asciiTheme="majorHAnsi" w:hAnsiTheme="majorHAnsi" w:cstheme="majorHAnsi"/>
        </w:rPr>
        <w:lastRenderedPageBreak/>
        <w:t xml:space="preserve">guidance in 'Standards for Internal Control in the Federal Government' issued by the Comptroller General of the United States or the </w:t>
      </w:r>
      <w:r w:rsidRPr="00293649">
        <w:rPr>
          <w:rFonts w:asciiTheme="majorHAnsi" w:hAnsiTheme="majorHAnsi" w:cstheme="majorHAnsi"/>
          <w:b/>
        </w:rPr>
        <w:t>'Internal Control - Integrated Framework', issued by the Committee of Sponsoring Organizations of the Treadway Commission, or COSO</w:t>
      </w:r>
      <w:r w:rsidR="005B5C47" w:rsidRPr="00293649">
        <w:rPr>
          <w:rStyle w:val="FootnoteReference"/>
          <w:rFonts w:asciiTheme="majorHAnsi" w:hAnsiTheme="majorHAnsi" w:cstheme="majorHAnsi"/>
          <w:b/>
        </w:rPr>
        <w:footnoteReference w:id="5"/>
      </w:r>
      <w:r w:rsidRPr="00293649">
        <w:rPr>
          <w:rFonts w:asciiTheme="majorHAnsi" w:hAnsiTheme="majorHAnsi" w:cstheme="majorHAnsi"/>
          <w:b/>
        </w:rPr>
        <w:t>."</w:t>
      </w:r>
      <w:r w:rsidRPr="00293649">
        <w:rPr>
          <w:rFonts w:asciiTheme="majorHAnsi" w:hAnsiTheme="majorHAnsi" w:cstheme="majorHAnsi"/>
        </w:rPr>
        <w:t xml:space="preserve"> Internal controls are monitored by the awarding agency and by auditors, through the single audit and program audit requirements.</w:t>
      </w:r>
    </w:p>
    <w:p w14:paraId="64DC7217" w14:textId="77777777" w:rsidR="00F54322" w:rsidRPr="00293649" w:rsidRDefault="00F54322" w:rsidP="00F54322">
      <w:pPr>
        <w:jc w:val="both"/>
        <w:rPr>
          <w:rFonts w:asciiTheme="majorHAnsi" w:hAnsiTheme="majorHAnsi" w:cstheme="majorHAnsi"/>
          <w:b/>
        </w:rPr>
      </w:pPr>
    </w:p>
    <w:p w14:paraId="7811B871" w14:textId="77777777" w:rsidR="00F54322" w:rsidRPr="00293649" w:rsidRDefault="00F54322" w:rsidP="00F54322">
      <w:pPr>
        <w:jc w:val="both"/>
        <w:rPr>
          <w:rFonts w:asciiTheme="majorHAnsi" w:hAnsiTheme="majorHAnsi" w:cstheme="majorHAnsi"/>
        </w:rPr>
      </w:pPr>
      <w:r w:rsidRPr="00293649">
        <w:rPr>
          <w:rFonts w:asciiTheme="majorHAnsi" w:hAnsiTheme="majorHAnsi" w:cstheme="majorHAnsi"/>
        </w:rPr>
        <w:t xml:space="preserve">The New </w:t>
      </w:r>
      <w:r w:rsidRPr="00293649">
        <w:rPr>
          <w:rFonts w:asciiTheme="majorHAnsi" w:hAnsiTheme="majorHAnsi" w:cstheme="majorHAnsi"/>
          <w:b/>
        </w:rPr>
        <w:t>EDGAR and Internal Controls 2 CFR 200.303, and the ‘Uniform Administrative Requirements, Cost Principles, and Audit Requirements for Federal Awards’ (2 C.F.R §200)</w:t>
      </w:r>
      <w:r w:rsidRPr="00293649">
        <w:rPr>
          <w:rFonts w:asciiTheme="majorHAnsi" w:hAnsiTheme="majorHAnsi" w:cstheme="majorHAnsi"/>
        </w:rPr>
        <w:t xml:space="preserve"> requires grantees to implement internal controls for the administration of federal grants. Grantees must establish and maintain effective internal control over federal grants and provide reasonable assurance that they comply with all laws, regulations and requirements related to the grants they receive. </w:t>
      </w:r>
    </w:p>
    <w:p w14:paraId="5ADDC0F5" w14:textId="77777777" w:rsidR="00F54322" w:rsidRPr="00293649" w:rsidRDefault="00F54322" w:rsidP="00F54322">
      <w:pPr>
        <w:jc w:val="both"/>
        <w:rPr>
          <w:rFonts w:asciiTheme="majorHAnsi" w:hAnsiTheme="majorHAnsi" w:cstheme="majorHAnsi"/>
        </w:rPr>
      </w:pPr>
    </w:p>
    <w:p w14:paraId="0840653A" w14:textId="77777777" w:rsidR="00F54322" w:rsidRPr="00293649" w:rsidRDefault="00F54322" w:rsidP="00F54322">
      <w:pPr>
        <w:jc w:val="both"/>
        <w:rPr>
          <w:rFonts w:asciiTheme="majorHAnsi" w:hAnsiTheme="majorHAnsi" w:cstheme="majorHAnsi"/>
        </w:rPr>
      </w:pPr>
      <w:r w:rsidRPr="00293649">
        <w:rPr>
          <w:rFonts w:asciiTheme="majorHAnsi" w:hAnsiTheme="majorHAnsi" w:cstheme="majorHAnsi"/>
        </w:rPr>
        <w:t xml:space="preserve">Additionally, grantees must: </w:t>
      </w:r>
    </w:p>
    <w:p w14:paraId="29781CF7" w14:textId="77777777" w:rsidR="00F54322" w:rsidRPr="00293649" w:rsidRDefault="00F54322" w:rsidP="005B5C47">
      <w:pPr>
        <w:pStyle w:val="ListParagraph"/>
        <w:jc w:val="both"/>
        <w:rPr>
          <w:rFonts w:asciiTheme="majorHAnsi" w:hAnsiTheme="majorHAnsi" w:cstheme="majorHAnsi"/>
        </w:rPr>
      </w:pPr>
    </w:p>
    <w:p w14:paraId="7FFC00B9" w14:textId="77777777" w:rsidR="00F54322" w:rsidRPr="00293649" w:rsidRDefault="00F54322" w:rsidP="007D079D">
      <w:pPr>
        <w:pStyle w:val="ListParagraph"/>
        <w:numPr>
          <w:ilvl w:val="0"/>
          <w:numId w:val="5"/>
        </w:numPr>
        <w:jc w:val="both"/>
        <w:rPr>
          <w:rFonts w:asciiTheme="majorHAnsi" w:hAnsiTheme="majorHAnsi" w:cstheme="majorHAnsi"/>
        </w:rPr>
      </w:pPr>
      <w:r w:rsidRPr="00293649">
        <w:rPr>
          <w:rFonts w:asciiTheme="majorHAnsi" w:hAnsiTheme="majorHAnsi" w:cstheme="majorHAnsi"/>
        </w:rPr>
        <w:t xml:space="preserve">Evaluate and monitor their own compliance with grant requirements. </w:t>
      </w:r>
    </w:p>
    <w:p w14:paraId="01B4C6FA" w14:textId="77777777" w:rsidR="00F54322" w:rsidRPr="00293649" w:rsidRDefault="00F54322" w:rsidP="007D079D">
      <w:pPr>
        <w:pStyle w:val="ListParagraph"/>
        <w:numPr>
          <w:ilvl w:val="0"/>
          <w:numId w:val="5"/>
        </w:numPr>
        <w:jc w:val="both"/>
        <w:rPr>
          <w:rFonts w:asciiTheme="majorHAnsi" w:hAnsiTheme="majorHAnsi" w:cstheme="majorHAnsi"/>
        </w:rPr>
      </w:pPr>
      <w:r w:rsidRPr="00293649">
        <w:rPr>
          <w:rFonts w:asciiTheme="majorHAnsi" w:hAnsiTheme="majorHAnsi" w:cstheme="majorHAnsi"/>
        </w:rPr>
        <w:t xml:space="preserve">Quickly address any noncompliance identified, including any found in audit or monitoring findings. </w:t>
      </w:r>
    </w:p>
    <w:p w14:paraId="0F420B69" w14:textId="77777777" w:rsidR="00F54322" w:rsidRPr="00293649" w:rsidRDefault="00F54322" w:rsidP="007D079D">
      <w:pPr>
        <w:pStyle w:val="ListParagraph"/>
        <w:numPr>
          <w:ilvl w:val="0"/>
          <w:numId w:val="5"/>
        </w:numPr>
        <w:jc w:val="both"/>
        <w:rPr>
          <w:rFonts w:asciiTheme="majorHAnsi" w:hAnsiTheme="majorHAnsi" w:cstheme="majorHAnsi"/>
        </w:rPr>
      </w:pPr>
      <w:r w:rsidRPr="00293649">
        <w:rPr>
          <w:rFonts w:asciiTheme="majorHAnsi" w:hAnsiTheme="majorHAnsi" w:cstheme="majorHAnsi"/>
        </w:rPr>
        <w:t xml:space="preserve">Take reasonable measures to protect sensitive or personally identifiable information (in accordance with laws regarding privacy and confidentiality). </w:t>
      </w:r>
    </w:p>
    <w:p w14:paraId="73BC8386" w14:textId="77777777" w:rsidR="00F54322" w:rsidRPr="00293649" w:rsidRDefault="00F54322" w:rsidP="005B5C47">
      <w:pPr>
        <w:jc w:val="both"/>
        <w:rPr>
          <w:rFonts w:asciiTheme="majorHAnsi" w:hAnsiTheme="majorHAnsi" w:cstheme="majorHAnsi"/>
        </w:rPr>
      </w:pPr>
    </w:p>
    <w:p w14:paraId="220EAE5B" w14:textId="77777777" w:rsidR="00F54322" w:rsidRPr="00293649" w:rsidRDefault="00F54322" w:rsidP="005B5C47">
      <w:pPr>
        <w:jc w:val="both"/>
        <w:rPr>
          <w:rFonts w:asciiTheme="majorHAnsi" w:hAnsiTheme="majorHAnsi" w:cstheme="majorHAnsi"/>
        </w:rPr>
      </w:pPr>
      <w:r w:rsidRPr="00293649">
        <w:rPr>
          <w:rFonts w:asciiTheme="majorHAnsi" w:hAnsiTheme="majorHAnsi" w:cstheme="majorHAnsi"/>
        </w:rPr>
        <w:t xml:space="preserve">An effective system of internal control provides </w:t>
      </w:r>
      <w:r w:rsidRPr="00293649">
        <w:rPr>
          <w:rFonts w:asciiTheme="majorHAnsi" w:hAnsiTheme="majorHAnsi" w:cstheme="majorHAnsi"/>
          <w:b/>
        </w:rPr>
        <w:t xml:space="preserve">reasonable </w:t>
      </w:r>
      <w:r w:rsidRPr="00293649">
        <w:rPr>
          <w:rFonts w:asciiTheme="majorHAnsi" w:hAnsiTheme="majorHAnsi" w:cstheme="majorHAnsi"/>
        </w:rPr>
        <w:t xml:space="preserve">assurance of achievement of an agency’s objectives.  Internal controls are the first line of defense and the best mechanism an agency </w:t>
      </w:r>
      <w:r w:rsidR="00972147" w:rsidRPr="00293649">
        <w:rPr>
          <w:rFonts w:asciiTheme="majorHAnsi" w:hAnsiTheme="majorHAnsi" w:cstheme="majorHAnsi"/>
        </w:rPr>
        <w:t>must</w:t>
      </w:r>
      <w:r w:rsidRPr="00293649">
        <w:rPr>
          <w:rFonts w:asciiTheme="majorHAnsi" w:hAnsiTheme="majorHAnsi" w:cstheme="majorHAnsi"/>
        </w:rPr>
        <w:t xml:space="preserve"> safeguard its assets and resources, even though they can provide only reasonable – not absolute assurance.  An effective system of internal control reduces, to an acceptable level, the risk of not achieving an objective.  </w:t>
      </w:r>
    </w:p>
    <w:p w14:paraId="2843AA82" w14:textId="77777777" w:rsidR="00F54322" w:rsidRPr="00293649" w:rsidRDefault="00F54322" w:rsidP="00F54322">
      <w:pPr>
        <w:rPr>
          <w:rFonts w:asciiTheme="majorHAnsi" w:hAnsiTheme="majorHAnsi" w:cstheme="majorHAnsi"/>
        </w:rPr>
      </w:pPr>
    </w:p>
    <w:p w14:paraId="46F101B6" w14:textId="77777777" w:rsidR="00F54322" w:rsidRPr="00293649" w:rsidRDefault="00F54322" w:rsidP="00C539FD">
      <w:pPr>
        <w:jc w:val="both"/>
        <w:rPr>
          <w:rFonts w:asciiTheme="majorHAnsi" w:hAnsiTheme="majorHAnsi" w:cstheme="majorHAnsi"/>
        </w:rPr>
      </w:pPr>
      <w:r w:rsidRPr="00293649">
        <w:rPr>
          <w:rFonts w:asciiTheme="majorHAnsi" w:hAnsiTheme="majorHAnsi" w:cstheme="majorHAnsi"/>
        </w:rPr>
        <w:t xml:space="preserve">It requires that: </w:t>
      </w:r>
    </w:p>
    <w:p w14:paraId="26DB7DB5" w14:textId="77777777" w:rsidR="00F54322" w:rsidRPr="00293649" w:rsidRDefault="00F54322" w:rsidP="00C539FD">
      <w:pPr>
        <w:jc w:val="both"/>
        <w:rPr>
          <w:rFonts w:asciiTheme="majorHAnsi" w:hAnsiTheme="majorHAnsi" w:cstheme="majorHAnsi"/>
        </w:rPr>
      </w:pPr>
    </w:p>
    <w:p w14:paraId="4D725362" w14:textId="77777777" w:rsidR="00F54322" w:rsidRPr="00293649" w:rsidRDefault="00D86C25" w:rsidP="007D079D">
      <w:pPr>
        <w:pStyle w:val="ListParagraph"/>
        <w:numPr>
          <w:ilvl w:val="0"/>
          <w:numId w:val="5"/>
        </w:numPr>
        <w:jc w:val="both"/>
        <w:rPr>
          <w:rFonts w:asciiTheme="majorHAnsi" w:hAnsiTheme="majorHAnsi" w:cstheme="majorHAnsi"/>
        </w:rPr>
      </w:pPr>
      <w:r w:rsidRPr="00293649">
        <w:rPr>
          <w:rFonts w:asciiTheme="majorHAnsi" w:hAnsiTheme="majorHAnsi" w:cstheme="majorHAnsi"/>
        </w:rPr>
        <w:t>E</w:t>
      </w:r>
      <w:r w:rsidR="00F54322" w:rsidRPr="00293649">
        <w:rPr>
          <w:rFonts w:asciiTheme="majorHAnsi" w:hAnsiTheme="majorHAnsi" w:cstheme="majorHAnsi"/>
        </w:rPr>
        <w:t xml:space="preserve">ach of the </w:t>
      </w:r>
      <w:r w:rsidR="00F54322" w:rsidRPr="00293649">
        <w:rPr>
          <w:rFonts w:asciiTheme="majorHAnsi" w:hAnsiTheme="majorHAnsi" w:cstheme="majorHAnsi"/>
          <w:b/>
          <w:bCs/>
        </w:rPr>
        <w:t>five components</w:t>
      </w:r>
      <w:r w:rsidR="00F54322" w:rsidRPr="00293649">
        <w:rPr>
          <w:rFonts w:asciiTheme="majorHAnsi" w:hAnsiTheme="majorHAnsi" w:cstheme="majorHAnsi"/>
        </w:rPr>
        <w:t xml:space="preserve"> of internal control and relevant principles is present and functioning </w:t>
      </w:r>
    </w:p>
    <w:p w14:paraId="35F5AD25" w14:textId="77777777" w:rsidR="00F54322" w:rsidRPr="00293649" w:rsidRDefault="00D86C25" w:rsidP="007D079D">
      <w:pPr>
        <w:pStyle w:val="ListParagraph"/>
        <w:numPr>
          <w:ilvl w:val="0"/>
          <w:numId w:val="5"/>
        </w:numPr>
        <w:jc w:val="both"/>
        <w:rPr>
          <w:rFonts w:asciiTheme="majorHAnsi" w:hAnsiTheme="majorHAnsi" w:cstheme="majorHAnsi"/>
        </w:rPr>
      </w:pPr>
      <w:r w:rsidRPr="00293649">
        <w:rPr>
          <w:rFonts w:asciiTheme="majorHAnsi" w:hAnsiTheme="majorHAnsi" w:cstheme="majorHAnsi"/>
        </w:rPr>
        <w:t>T</w:t>
      </w:r>
      <w:r w:rsidR="00F54322" w:rsidRPr="00293649">
        <w:rPr>
          <w:rFonts w:asciiTheme="majorHAnsi" w:hAnsiTheme="majorHAnsi" w:cstheme="majorHAnsi"/>
        </w:rPr>
        <w:t>he five components are operating together in an integrated manner.</w:t>
      </w:r>
    </w:p>
    <w:p w14:paraId="2D00366A" w14:textId="77777777" w:rsidR="00F54322" w:rsidRPr="00293649" w:rsidRDefault="00F54322" w:rsidP="00C539FD">
      <w:pPr>
        <w:pStyle w:val="Default"/>
        <w:spacing w:after="9"/>
        <w:jc w:val="both"/>
        <w:rPr>
          <w:rFonts w:asciiTheme="majorHAnsi" w:hAnsiTheme="majorHAnsi" w:cstheme="majorHAnsi"/>
          <w:color w:val="auto"/>
        </w:rPr>
      </w:pPr>
    </w:p>
    <w:p w14:paraId="7C344F67" w14:textId="77777777" w:rsidR="004F6423" w:rsidRPr="00342E9E" w:rsidRDefault="004F6423" w:rsidP="00C539FD">
      <w:pPr>
        <w:pStyle w:val="Heading2"/>
        <w:jc w:val="both"/>
      </w:pPr>
      <w:r w:rsidRPr="00342E9E">
        <w:t>Compliance requirements for RESTART Funds</w:t>
      </w:r>
      <w:r w:rsidR="002C3A02" w:rsidRPr="00342E9E">
        <w:t>:</w:t>
      </w:r>
    </w:p>
    <w:p w14:paraId="7DD72CE2" w14:textId="77777777" w:rsidR="004F6423" w:rsidRPr="00293649" w:rsidRDefault="004F6423" w:rsidP="00C539FD">
      <w:pPr>
        <w:pStyle w:val="NormalWeb"/>
        <w:spacing w:before="0" w:beforeAutospacing="0" w:after="150" w:afterAutospacing="0"/>
        <w:jc w:val="both"/>
        <w:rPr>
          <w:rFonts w:asciiTheme="majorHAnsi" w:hAnsiTheme="majorHAnsi" w:cstheme="majorHAnsi"/>
        </w:rPr>
      </w:pPr>
      <w:r w:rsidRPr="00293649">
        <w:rPr>
          <w:rFonts w:asciiTheme="majorHAnsi" w:hAnsiTheme="majorHAnsi" w:cstheme="majorHAnsi"/>
        </w:rPr>
        <w:t xml:space="preserve">Each year, the Office of Management and Budget (OMB) issues a </w:t>
      </w:r>
      <w:hyperlink r:id="rId12" w:tgtFrame="_blank" w:history="1">
        <w:r w:rsidRPr="00293649">
          <w:rPr>
            <w:rStyle w:val="Hyperlink"/>
            <w:rFonts w:asciiTheme="majorHAnsi" w:hAnsiTheme="majorHAnsi" w:cstheme="majorHAnsi"/>
            <w:b/>
            <w:bCs/>
            <w:color w:val="auto"/>
          </w:rPr>
          <w:t>2 CFR Part 200, Appendix XI Compliance Supplement (Compliance Supplement</w:t>
        </w:r>
        <w:r w:rsidRPr="00293649">
          <w:rPr>
            <w:rStyle w:val="FootnoteReference"/>
            <w:rFonts w:asciiTheme="majorHAnsi" w:hAnsiTheme="majorHAnsi" w:cstheme="majorHAnsi"/>
            <w:b/>
            <w:bCs/>
            <w:u w:val="single"/>
          </w:rPr>
          <w:footnoteReference w:id="6"/>
        </w:r>
        <w:r w:rsidRPr="00293649">
          <w:rPr>
            <w:rStyle w:val="Hyperlink"/>
            <w:rFonts w:asciiTheme="majorHAnsi" w:hAnsiTheme="majorHAnsi" w:cstheme="majorHAnsi"/>
            <w:b/>
            <w:bCs/>
            <w:color w:val="auto"/>
          </w:rPr>
          <w:t>)</w:t>
        </w:r>
      </w:hyperlink>
      <w:r w:rsidRPr="00293649">
        <w:rPr>
          <w:rFonts w:asciiTheme="majorHAnsi" w:hAnsiTheme="majorHAnsi" w:cstheme="majorHAnsi"/>
        </w:rPr>
        <w:t xml:space="preserve">. The Compliance Supplement provides </w:t>
      </w:r>
      <w:r w:rsidR="00C539FD" w:rsidRPr="00293649">
        <w:rPr>
          <w:rFonts w:asciiTheme="majorHAnsi" w:hAnsiTheme="majorHAnsi" w:cstheme="majorHAnsi"/>
        </w:rPr>
        <w:t xml:space="preserve">a road map </w:t>
      </w:r>
      <w:r w:rsidR="00C539FD">
        <w:rPr>
          <w:rFonts w:asciiTheme="majorHAnsi" w:hAnsiTheme="majorHAnsi" w:cstheme="majorHAnsi"/>
        </w:rPr>
        <w:t>monitors and auditors</w:t>
      </w:r>
      <w:r w:rsidRPr="00293649">
        <w:rPr>
          <w:rFonts w:asciiTheme="majorHAnsi" w:hAnsiTheme="majorHAnsi" w:cstheme="majorHAnsi"/>
        </w:rPr>
        <w:t xml:space="preserve"> should follow when performing a Single Audit (established under the Single Audit Act of 1984) and explains how to test the various applicable compliance requirements.</w:t>
      </w:r>
    </w:p>
    <w:p w14:paraId="42E1CDB7" w14:textId="77777777" w:rsidR="004F6423" w:rsidRPr="00293649" w:rsidRDefault="004F6423" w:rsidP="00C539FD">
      <w:pPr>
        <w:pStyle w:val="NormalWeb"/>
        <w:spacing w:before="0" w:beforeAutospacing="0" w:after="150" w:afterAutospacing="0"/>
        <w:jc w:val="both"/>
        <w:rPr>
          <w:rFonts w:asciiTheme="majorHAnsi" w:hAnsiTheme="majorHAnsi" w:cstheme="majorHAnsi"/>
        </w:rPr>
      </w:pPr>
      <w:r w:rsidRPr="00293649">
        <w:rPr>
          <w:rFonts w:asciiTheme="majorHAnsi" w:hAnsiTheme="majorHAnsi" w:cstheme="majorHAnsi"/>
        </w:rPr>
        <w:t>Each year the Compliance Supplement is updated by both the OMB and the related federal agencies which issue funds that fall under Single Audits. In 2018, the OMB released a skinny version of the Compliance Supplement which included only changes to the supplement. Thus, auditors had to use the 2017 and 2018 Compliance Supplements in conjunction when performing audits.</w:t>
      </w:r>
    </w:p>
    <w:p w14:paraId="6B9DC9CF" w14:textId="77777777" w:rsidR="004F6423" w:rsidRPr="00293649" w:rsidRDefault="004F6423" w:rsidP="00C539FD">
      <w:pPr>
        <w:pStyle w:val="NormalWeb"/>
        <w:spacing w:before="0" w:beforeAutospacing="0" w:after="150" w:afterAutospacing="0"/>
        <w:jc w:val="both"/>
        <w:rPr>
          <w:rFonts w:asciiTheme="majorHAnsi" w:hAnsiTheme="majorHAnsi" w:cstheme="majorHAnsi"/>
        </w:rPr>
      </w:pPr>
      <w:r w:rsidRPr="00293649">
        <w:rPr>
          <w:rFonts w:asciiTheme="majorHAnsi" w:hAnsiTheme="majorHAnsi" w:cstheme="majorHAnsi"/>
        </w:rPr>
        <w:lastRenderedPageBreak/>
        <w:t>The 2019 Compliance Supplement, released in July 2019, returned to the full stand-alone supplement, highlighting key changes within. Some of the more significant changes include the requirement for federal agencies to reduce the applicable compliance areas from 12 down to 6, and the re-addition of internal controls. This supplement applies for fiscal years beginning after June 30, 2018. It supersedes the previous Compliance Supplements.</w:t>
      </w:r>
    </w:p>
    <w:p w14:paraId="1F53EC5C" w14:textId="77777777" w:rsidR="004F6423" w:rsidRPr="00293649" w:rsidRDefault="004F6423" w:rsidP="00F54322">
      <w:pPr>
        <w:pStyle w:val="Default"/>
        <w:spacing w:after="9"/>
        <w:jc w:val="both"/>
        <w:rPr>
          <w:rFonts w:asciiTheme="majorHAnsi" w:hAnsiTheme="majorHAnsi" w:cstheme="majorHAnsi"/>
          <w:color w:val="auto"/>
        </w:rPr>
      </w:pPr>
      <w:r w:rsidRPr="00F15BF4">
        <w:rPr>
          <w:rFonts w:asciiTheme="majorHAnsi" w:hAnsiTheme="majorHAnsi" w:cstheme="majorHAnsi"/>
          <w:color w:val="auto"/>
        </w:rPr>
        <w:t xml:space="preserve">In developing the audit procedures to test compliance with the requirements for this Federal program, the </w:t>
      </w:r>
      <w:r w:rsidR="00286F59" w:rsidRPr="00F15BF4">
        <w:rPr>
          <w:rFonts w:asciiTheme="majorHAnsi" w:hAnsiTheme="majorHAnsi" w:cstheme="majorHAnsi"/>
          <w:color w:val="auto"/>
        </w:rPr>
        <w:t>compliance monitor</w:t>
      </w:r>
      <w:r w:rsidRPr="00F15BF4">
        <w:rPr>
          <w:rFonts w:asciiTheme="majorHAnsi" w:hAnsiTheme="majorHAnsi" w:cstheme="majorHAnsi"/>
          <w:color w:val="auto"/>
        </w:rPr>
        <w:t xml:space="preserve"> must determine, from Part 2, “Mat</w:t>
      </w:r>
      <w:r w:rsidR="00C539FD" w:rsidRPr="00F15BF4">
        <w:rPr>
          <w:rFonts w:asciiTheme="majorHAnsi" w:hAnsiTheme="majorHAnsi" w:cstheme="majorHAnsi"/>
          <w:color w:val="auto"/>
        </w:rPr>
        <w:t>rix of Compliance Requirements” of the Compliance Supplement</w:t>
      </w:r>
      <w:r w:rsidRPr="00F15BF4">
        <w:rPr>
          <w:rFonts w:asciiTheme="majorHAnsi" w:hAnsiTheme="majorHAnsi" w:cstheme="majorHAnsi"/>
          <w:color w:val="auto"/>
        </w:rPr>
        <w:t>, which of the 12 types of compliance requirements have been identified as subject to the audit (noted with a “Y” in the summary matrix below), and then determine which of the compliance requirements that are subject to the audit are likely to have a direct and material effect on the Federal program at the auditee.  For each such compliance requirement subject to the audit, the auditor must use Part 3 (which includes generic details about each compliance requirement other than Special Tests and Provisions) and this program supplement (which includes any program</w:t>
      </w:r>
      <w:r w:rsidR="00293649" w:rsidRPr="00F15BF4">
        <w:rPr>
          <w:rFonts w:asciiTheme="majorHAnsi" w:hAnsiTheme="majorHAnsi" w:cstheme="majorHAnsi"/>
          <w:color w:val="auto"/>
        </w:rPr>
        <w:t xml:space="preserve"> </w:t>
      </w:r>
      <w:r w:rsidRPr="00F15BF4">
        <w:rPr>
          <w:rFonts w:asciiTheme="majorHAnsi" w:hAnsiTheme="majorHAnsi" w:cstheme="majorHAnsi"/>
          <w:color w:val="auto"/>
        </w:rPr>
        <w:t xml:space="preserve">specific requirements) to perform the audit.  When a compliance requirement is shown in the summary below as “N,” it has been identified as not being subject to the audit.  </w:t>
      </w:r>
      <w:r w:rsidR="00286F59" w:rsidRPr="00F15BF4">
        <w:rPr>
          <w:rFonts w:asciiTheme="majorHAnsi" w:hAnsiTheme="majorHAnsi" w:cstheme="majorHAnsi"/>
          <w:color w:val="auto"/>
        </w:rPr>
        <w:t>The compliance officer is</w:t>
      </w:r>
      <w:r w:rsidRPr="00F15BF4">
        <w:rPr>
          <w:rFonts w:asciiTheme="majorHAnsi" w:hAnsiTheme="majorHAnsi" w:cstheme="majorHAnsi"/>
          <w:color w:val="auto"/>
        </w:rPr>
        <w:t xml:space="preserve"> not expected to test requirements that have been noted with an “N.”</w:t>
      </w:r>
    </w:p>
    <w:p w14:paraId="719F3719" w14:textId="77777777" w:rsidR="004F6423" w:rsidRDefault="004F6423" w:rsidP="00F54322">
      <w:pPr>
        <w:pStyle w:val="Default"/>
        <w:spacing w:after="9"/>
        <w:jc w:val="both"/>
        <w:rPr>
          <w:rFonts w:asciiTheme="majorHAnsi" w:hAnsiTheme="majorHAnsi" w:cstheme="majorHAnsi"/>
          <w:color w:val="FF0000"/>
          <w:sz w:val="22"/>
          <w:szCs w:val="22"/>
        </w:rPr>
      </w:pPr>
    </w:p>
    <w:p w14:paraId="0411A456" w14:textId="77777777" w:rsidR="004F6423" w:rsidRPr="00D35AEE" w:rsidRDefault="004F6423" w:rsidP="00F54322">
      <w:pPr>
        <w:pStyle w:val="Default"/>
        <w:spacing w:after="9"/>
        <w:jc w:val="both"/>
        <w:rPr>
          <w:rFonts w:asciiTheme="majorHAnsi" w:hAnsiTheme="majorHAnsi" w:cstheme="majorHAnsi"/>
          <w:color w:val="FF0000"/>
          <w:sz w:val="22"/>
          <w:szCs w:val="22"/>
        </w:rPr>
      </w:pPr>
      <w:r>
        <w:rPr>
          <w:noProof/>
        </w:rPr>
        <w:drawing>
          <wp:inline distT="0" distB="0" distL="0" distR="0" wp14:anchorId="242194F7" wp14:editId="375C803A">
            <wp:extent cx="6400800" cy="24555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455545"/>
                    </a:xfrm>
                    <a:prstGeom prst="rect">
                      <a:avLst/>
                    </a:prstGeom>
                  </pic:spPr>
                </pic:pic>
              </a:graphicData>
            </a:graphic>
          </wp:inline>
        </w:drawing>
      </w:r>
    </w:p>
    <w:p w14:paraId="33DA1A3C" w14:textId="77777777" w:rsidR="00915DD0" w:rsidRPr="006C7902" w:rsidRDefault="00915DD0" w:rsidP="00C539FD">
      <w:pPr>
        <w:pStyle w:val="Heading1"/>
        <w:rPr>
          <w:b/>
          <w:sz w:val="28"/>
          <w:szCs w:val="28"/>
        </w:rPr>
      </w:pPr>
      <w:r w:rsidRPr="006C7902">
        <w:rPr>
          <w:b/>
          <w:sz w:val="28"/>
          <w:szCs w:val="28"/>
        </w:rPr>
        <w:t>Central Level –</w:t>
      </w:r>
      <w:r w:rsidR="00203BA1" w:rsidRPr="006C7902">
        <w:rPr>
          <w:b/>
          <w:sz w:val="28"/>
          <w:szCs w:val="28"/>
        </w:rPr>
        <w:t xml:space="preserve"> </w:t>
      </w:r>
      <w:r w:rsidRPr="006C7902">
        <w:rPr>
          <w:b/>
          <w:sz w:val="28"/>
          <w:szCs w:val="28"/>
        </w:rPr>
        <w:t>Policies, and Procedures</w:t>
      </w:r>
    </w:p>
    <w:p w14:paraId="512D42F7" w14:textId="16BDEEA4" w:rsidR="00F54322" w:rsidRPr="00342E9E" w:rsidRDefault="00F54322" w:rsidP="00132C41">
      <w:pPr>
        <w:shd w:val="clear" w:color="auto" w:fill="FFFFFF"/>
        <w:textAlignment w:val="baseline"/>
        <w:rPr>
          <w:rFonts w:asciiTheme="majorHAnsi" w:eastAsia="Times New Roman" w:hAnsiTheme="majorHAnsi" w:cstheme="majorHAnsi"/>
          <w:lang w:eastAsia="es-PR"/>
        </w:rPr>
      </w:pPr>
      <w:r w:rsidRPr="00342E9E">
        <w:rPr>
          <w:rFonts w:asciiTheme="majorHAnsi" w:hAnsiTheme="majorHAnsi" w:cstheme="majorHAnsi"/>
        </w:rPr>
        <w:t>To comply with 2 C</w:t>
      </w:r>
      <w:r w:rsidR="00F44C21">
        <w:rPr>
          <w:rFonts w:asciiTheme="majorHAnsi" w:hAnsiTheme="majorHAnsi" w:cstheme="majorHAnsi"/>
        </w:rPr>
        <w:t>FR</w:t>
      </w:r>
      <w:r w:rsidRPr="00342E9E">
        <w:rPr>
          <w:rFonts w:asciiTheme="majorHAnsi" w:hAnsiTheme="majorHAnsi" w:cstheme="majorHAnsi"/>
        </w:rPr>
        <w:t>200.303, PRDE adopted the Committee of Sponsoring Organizations of the Treadway Commission, or COSO standards and principles as a guidance for its internal control system</w:t>
      </w:r>
      <w:r w:rsidR="00626C1E" w:rsidRPr="00342E9E">
        <w:rPr>
          <w:rFonts w:asciiTheme="majorHAnsi" w:hAnsiTheme="majorHAnsi" w:cstheme="majorHAnsi"/>
        </w:rPr>
        <w:t xml:space="preserve"> (Figure 1)</w:t>
      </w:r>
      <w:r w:rsidRPr="00342E9E">
        <w:rPr>
          <w:rFonts w:asciiTheme="majorHAnsi" w:hAnsiTheme="majorHAnsi" w:cstheme="majorHAnsi"/>
        </w:rPr>
        <w:t xml:space="preserve">.  COSO’s Internal Control—Integrated Framework identifies five components of internal control that encompass the different steps you must take in order to establish a system of internal controls for our entire organization. The GAO Green Book supports these five components and considers them to be the standards for internal control in the federal government. As a recipient of federal grant funds, </w:t>
      </w:r>
      <w:r w:rsidR="00F95E5F" w:rsidRPr="00342E9E">
        <w:rPr>
          <w:rFonts w:asciiTheme="majorHAnsi" w:hAnsiTheme="majorHAnsi" w:cstheme="majorHAnsi"/>
        </w:rPr>
        <w:t xml:space="preserve">the </w:t>
      </w:r>
      <w:r w:rsidR="00F95E5F" w:rsidRPr="00342E9E">
        <w:rPr>
          <w:rFonts w:asciiTheme="majorHAnsi" w:eastAsia="Times New Roman" w:hAnsiTheme="majorHAnsi" w:cstheme="majorHAnsi"/>
          <w:sz w:val="22"/>
          <w:szCs w:val="22"/>
          <w:bdr w:val="none" w:sz="0" w:space="0" w:color="auto" w:frame="1"/>
          <w:lang w:eastAsia="es-PR"/>
        </w:rPr>
        <w:t>Restart grant personnel</w:t>
      </w:r>
      <w:r w:rsidR="00F95E5F" w:rsidRPr="00342E9E">
        <w:rPr>
          <w:rFonts w:asciiTheme="majorHAnsi" w:eastAsia="Times New Roman" w:hAnsiTheme="majorHAnsi" w:cstheme="majorHAnsi"/>
          <w:lang w:eastAsia="es-PR"/>
        </w:rPr>
        <w:t xml:space="preserve"> </w:t>
      </w:r>
      <w:r w:rsidRPr="00342E9E">
        <w:rPr>
          <w:rFonts w:asciiTheme="majorHAnsi" w:hAnsiTheme="majorHAnsi" w:cstheme="majorHAnsi"/>
        </w:rPr>
        <w:t xml:space="preserve">are required to establish internal controls. Although </w:t>
      </w:r>
      <w:r w:rsidR="00F95E5F" w:rsidRPr="003652C6">
        <w:rPr>
          <w:rFonts w:asciiTheme="majorHAnsi" w:eastAsia="Times New Roman" w:hAnsiTheme="majorHAnsi" w:cstheme="majorHAnsi"/>
          <w:sz w:val="22"/>
          <w:szCs w:val="22"/>
          <w:bdr w:val="none" w:sz="0" w:space="0" w:color="auto" w:frame="1"/>
          <w:lang w:eastAsia="es-PR"/>
        </w:rPr>
        <w:t>Restart grant personnel is</w:t>
      </w:r>
      <w:r w:rsidRPr="00342E9E">
        <w:rPr>
          <w:rFonts w:asciiTheme="majorHAnsi" w:hAnsiTheme="majorHAnsi" w:cstheme="majorHAnsi"/>
        </w:rPr>
        <w:t xml:space="preserve"> not required to use the framework developed by COSO and supported by GAO, the federal government considers the framework to be a “best practice” for internal controls</w:t>
      </w:r>
      <w:r w:rsidR="00915DD0" w:rsidRPr="00342E9E">
        <w:rPr>
          <w:rFonts w:asciiTheme="majorHAnsi" w:hAnsiTheme="majorHAnsi" w:cstheme="majorHAnsi"/>
        </w:rPr>
        <w:t>.</w:t>
      </w:r>
    </w:p>
    <w:p w14:paraId="506EEF65" w14:textId="77777777" w:rsidR="00F54322" w:rsidRPr="00D35AEE" w:rsidRDefault="00F54322" w:rsidP="00F54322">
      <w:pPr>
        <w:pStyle w:val="Default"/>
        <w:spacing w:after="9"/>
        <w:jc w:val="both"/>
        <w:rPr>
          <w:rFonts w:asciiTheme="majorHAnsi" w:hAnsiTheme="majorHAnsi" w:cstheme="majorHAnsi"/>
          <w:color w:val="FF0000"/>
          <w:sz w:val="22"/>
          <w:szCs w:val="22"/>
        </w:rPr>
      </w:pPr>
    </w:p>
    <w:p w14:paraId="4AE2E496" w14:textId="77777777" w:rsidR="00F54322" w:rsidRPr="00D35AEE" w:rsidRDefault="00F54322" w:rsidP="00F54322">
      <w:pPr>
        <w:pStyle w:val="Default"/>
        <w:spacing w:after="9"/>
        <w:jc w:val="both"/>
        <w:rPr>
          <w:rFonts w:asciiTheme="majorHAnsi" w:hAnsiTheme="majorHAnsi" w:cstheme="majorHAnsi"/>
          <w:color w:val="FF0000"/>
          <w:sz w:val="22"/>
          <w:szCs w:val="22"/>
        </w:rPr>
      </w:pPr>
    </w:p>
    <w:p w14:paraId="7D6821BC" w14:textId="77777777" w:rsidR="00F54322" w:rsidRDefault="00F54322" w:rsidP="00F54322">
      <w:pPr>
        <w:pStyle w:val="Default"/>
        <w:spacing w:after="9"/>
        <w:jc w:val="center"/>
        <w:rPr>
          <w:rFonts w:asciiTheme="majorHAnsi" w:hAnsiTheme="majorHAnsi" w:cstheme="majorHAnsi"/>
          <w:color w:val="FF0000"/>
          <w:sz w:val="22"/>
          <w:szCs w:val="22"/>
        </w:rPr>
      </w:pPr>
      <w:r w:rsidRPr="00D35AEE">
        <w:rPr>
          <w:rFonts w:asciiTheme="majorHAnsi" w:hAnsiTheme="majorHAnsi" w:cstheme="majorHAnsi"/>
          <w:noProof/>
          <w:color w:val="FF0000"/>
          <w:sz w:val="22"/>
          <w:szCs w:val="22"/>
        </w:rPr>
        <w:lastRenderedPageBreak/>
        <w:drawing>
          <wp:inline distT="0" distB="0" distL="0" distR="0" wp14:anchorId="72B00942" wp14:editId="5E5391F1">
            <wp:extent cx="4626591" cy="3404474"/>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3007" cy="3475422"/>
                    </a:xfrm>
                    <a:prstGeom prst="rect">
                      <a:avLst/>
                    </a:prstGeom>
                  </pic:spPr>
                </pic:pic>
              </a:graphicData>
            </a:graphic>
          </wp:inline>
        </w:drawing>
      </w:r>
    </w:p>
    <w:p w14:paraId="1EE321EF" w14:textId="77777777" w:rsidR="00626C1E" w:rsidRPr="00342E9E" w:rsidRDefault="00626C1E" w:rsidP="00F54322">
      <w:pPr>
        <w:pStyle w:val="Default"/>
        <w:spacing w:after="9"/>
        <w:jc w:val="center"/>
        <w:rPr>
          <w:rFonts w:asciiTheme="majorHAnsi" w:hAnsiTheme="majorHAnsi" w:cstheme="majorHAnsi"/>
          <w:color w:val="auto"/>
          <w:sz w:val="22"/>
          <w:szCs w:val="22"/>
        </w:rPr>
      </w:pPr>
      <w:r w:rsidRPr="00342E9E">
        <w:rPr>
          <w:rFonts w:asciiTheme="majorHAnsi" w:hAnsiTheme="majorHAnsi" w:cstheme="majorHAnsi"/>
          <w:color w:val="auto"/>
          <w:sz w:val="22"/>
          <w:szCs w:val="22"/>
        </w:rPr>
        <w:t>Figure 1</w:t>
      </w:r>
    </w:p>
    <w:p w14:paraId="13190328" w14:textId="77777777" w:rsidR="00B9628B" w:rsidRDefault="00B9628B" w:rsidP="00C539FD">
      <w:pPr>
        <w:pStyle w:val="Heading2"/>
      </w:pPr>
    </w:p>
    <w:p w14:paraId="0A999263" w14:textId="4DC4ADEC" w:rsidR="00F54322" w:rsidRPr="007B5D9F" w:rsidRDefault="00F54322" w:rsidP="00C539FD">
      <w:pPr>
        <w:pStyle w:val="Heading2"/>
      </w:pPr>
      <w:r w:rsidRPr="007B5D9F">
        <w:t>C</w:t>
      </w:r>
      <w:r w:rsidR="00972733" w:rsidRPr="007B5D9F">
        <w:t>ontrol</w:t>
      </w:r>
      <w:r w:rsidRPr="007B5D9F">
        <w:t xml:space="preserve"> E</w:t>
      </w:r>
      <w:r w:rsidR="00972733" w:rsidRPr="007B5D9F">
        <w:t>nvironment</w:t>
      </w:r>
    </w:p>
    <w:p w14:paraId="40919B29" w14:textId="77777777" w:rsidR="00841DB4" w:rsidRPr="00342E9E" w:rsidRDefault="00F54322" w:rsidP="00841DB4">
      <w:pPr>
        <w:pStyle w:val="Default"/>
        <w:spacing w:after="9"/>
        <w:jc w:val="both"/>
        <w:rPr>
          <w:rFonts w:asciiTheme="majorHAnsi" w:hAnsiTheme="majorHAnsi" w:cstheme="majorHAnsi"/>
          <w:color w:val="auto"/>
          <w:sz w:val="22"/>
          <w:szCs w:val="22"/>
        </w:rPr>
      </w:pPr>
      <w:r w:rsidRPr="00342E9E">
        <w:rPr>
          <w:rFonts w:asciiTheme="majorHAnsi" w:hAnsiTheme="majorHAnsi" w:cstheme="majorHAnsi"/>
          <w:color w:val="auto"/>
          <w:sz w:val="22"/>
          <w:szCs w:val="22"/>
        </w:rPr>
        <w:t xml:space="preserve">The control environment is the set of standards, processes, and structures that provide the basis for carrying out internal control across the agency.  Restart Team will demonstrate a positive attitude toward compliance, an attitude that is modeled from the top of the organization. </w:t>
      </w:r>
      <w:r w:rsidR="00F95E5F" w:rsidRPr="00342E9E">
        <w:rPr>
          <w:rFonts w:asciiTheme="majorHAnsi" w:eastAsia="Times New Roman" w:hAnsiTheme="majorHAnsi" w:cstheme="majorHAnsi"/>
          <w:color w:val="auto"/>
          <w:sz w:val="22"/>
          <w:szCs w:val="22"/>
          <w:bdr w:val="none" w:sz="0" w:space="0" w:color="auto" w:frame="1"/>
          <w:lang w:eastAsia="es-PR"/>
        </w:rPr>
        <w:t>The Restart grant administration personnel must make sure that all the Restart staff understands the goals, objectives and how every part of the organization is connected to the other parts.</w:t>
      </w:r>
      <w:r w:rsidR="00841DB4" w:rsidRPr="00342E9E">
        <w:rPr>
          <w:rFonts w:asciiTheme="majorHAnsi" w:eastAsia="Times New Roman" w:hAnsiTheme="majorHAnsi" w:cstheme="majorHAnsi"/>
          <w:color w:val="auto"/>
          <w:sz w:val="22"/>
          <w:szCs w:val="22"/>
          <w:bdr w:val="none" w:sz="0" w:space="0" w:color="auto" w:frame="1"/>
          <w:lang w:eastAsia="es-PR"/>
        </w:rPr>
        <w:t xml:space="preserve"> </w:t>
      </w:r>
      <w:r w:rsidR="00841DB4" w:rsidRPr="00342E9E">
        <w:rPr>
          <w:rFonts w:asciiTheme="majorHAnsi" w:hAnsiTheme="majorHAnsi" w:cstheme="majorHAnsi"/>
          <w:color w:val="auto"/>
          <w:sz w:val="22"/>
          <w:szCs w:val="22"/>
        </w:rPr>
        <w:t xml:space="preserve">Additionally, all staff should have access to detailed job descriptions, so that they are </w:t>
      </w:r>
      <w:r w:rsidR="00B547CE" w:rsidRPr="00342E9E">
        <w:rPr>
          <w:rFonts w:asciiTheme="majorHAnsi" w:hAnsiTheme="majorHAnsi" w:cstheme="majorHAnsi"/>
          <w:color w:val="auto"/>
          <w:sz w:val="22"/>
          <w:szCs w:val="22"/>
        </w:rPr>
        <w:t>aware</w:t>
      </w:r>
      <w:r w:rsidR="00841DB4" w:rsidRPr="00342E9E">
        <w:rPr>
          <w:rFonts w:asciiTheme="majorHAnsi" w:hAnsiTheme="majorHAnsi" w:cstheme="majorHAnsi"/>
          <w:color w:val="auto"/>
          <w:sz w:val="22"/>
          <w:szCs w:val="22"/>
        </w:rPr>
        <w:t xml:space="preserve"> </w:t>
      </w:r>
      <w:r w:rsidR="00B547CE" w:rsidRPr="00342E9E">
        <w:rPr>
          <w:rFonts w:asciiTheme="majorHAnsi" w:hAnsiTheme="majorHAnsi" w:cstheme="majorHAnsi"/>
          <w:color w:val="auto"/>
          <w:sz w:val="22"/>
          <w:szCs w:val="22"/>
        </w:rPr>
        <w:t>of</w:t>
      </w:r>
      <w:r w:rsidR="00841DB4" w:rsidRPr="00342E9E">
        <w:rPr>
          <w:rFonts w:asciiTheme="majorHAnsi" w:hAnsiTheme="majorHAnsi" w:cstheme="majorHAnsi"/>
          <w:color w:val="auto"/>
          <w:sz w:val="22"/>
          <w:szCs w:val="22"/>
        </w:rPr>
        <w:t xml:space="preserve"> the role that they play in the organization and they are able to accurately communicate their job duties to auditors and monitors.  </w:t>
      </w:r>
    </w:p>
    <w:p w14:paraId="2CFA3A67" w14:textId="77777777" w:rsidR="002A558A" w:rsidRPr="00342E9E" w:rsidRDefault="00342E9E" w:rsidP="002A558A">
      <w:pPr>
        <w:shd w:val="clear" w:color="auto" w:fill="FFFFFF"/>
        <w:spacing w:after="9"/>
        <w:jc w:val="both"/>
        <w:textAlignment w:val="baseline"/>
        <w:rPr>
          <w:rFonts w:asciiTheme="majorHAnsi" w:eastAsia="Times New Roman" w:hAnsiTheme="majorHAnsi" w:cstheme="majorHAnsi"/>
          <w:sz w:val="22"/>
          <w:szCs w:val="22"/>
          <w:lang w:eastAsia="es-PR"/>
        </w:rPr>
      </w:pPr>
      <w:r>
        <w:rPr>
          <w:rFonts w:asciiTheme="majorHAnsi" w:eastAsia="Times New Roman" w:hAnsiTheme="majorHAnsi" w:cstheme="majorHAnsi"/>
          <w:sz w:val="22"/>
          <w:szCs w:val="22"/>
          <w:lang w:eastAsia="es-PR"/>
        </w:rPr>
        <w:t xml:space="preserve">                  </w:t>
      </w:r>
    </w:p>
    <w:p w14:paraId="169F5856" w14:textId="77777777" w:rsidR="009239F6" w:rsidRDefault="009E6983" w:rsidP="00342E9E">
      <w:pPr>
        <w:pStyle w:val="Heading3"/>
        <w:rPr>
          <w:rFonts w:cstheme="majorHAnsi"/>
          <w:color w:val="FF0000"/>
          <w:sz w:val="22"/>
          <w:szCs w:val="22"/>
        </w:rPr>
      </w:pPr>
      <w:r w:rsidRPr="004A1115">
        <w:rPr>
          <w:rFonts w:eastAsiaTheme="minorEastAsia"/>
          <w:color w:val="auto"/>
          <w:sz w:val="22"/>
          <w:szCs w:val="22"/>
        </w:rPr>
        <w:t xml:space="preserve">Individual grant roles and responsibilities: </w:t>
      </w:r>
      <w:r w:rsidR="00342E9E" w:rsidRPr="00342E9E">
        <w:rPr>
          <w:rFonts w:eastAsia="Times New Roman" w:cstheme="majorHAnsi"/>
          <w:color w:val="auto"/>
          <w:sz w:val="22"/>
          <w:szCs w:val="22"/>
          <w:lang w:eastAsia="es-PR"/>
        </w:rPr>
        <w:t>Grant personnel roles and responsibilities are described in the table below</w:t>
      </w:r>
      <w:r w:rsidR="00342E9E" w:rsidRPr="004A1115">
        <w:rPr>
          <w:rFonts w:eastAsia="Times New Roman" w:cstheme="majorHAnsi"/>
          <w:color w:val="auto"/>
          <w:sz w:val="22"/>
          <w:szCs w:val="22"/>
          <w:lang w:eastAsia="es-PR"/>
        </w:rPr>
        <w:t>:</w:t>
      </w:r>
      <w:r w:rsidR="00626C1E" w:rsidRPr="004A1115">
        <w:rPr>
          <w:rStyle w:val="FootnoteReference"/>
          <w:rFonts w:cstheme="majorHAnsi"/>
          <w:color w:val="auto"/>
          <w:sz w:val="22"/>
          <w:szCs w:val="22"/>
        </w:rPr>
        <w:footnoteReference w:id="7"/>
      </w:r>
    </w:p>
    <w:tbl>
      <w:tblPr>
        <w:tblStyle w:val="TableGrid"/>
        <w:tblW w:w="10795" w:type="dxa"/>
        <w:tblInd w:w="-5" w:type="dxa"/>
        <w:tblLook w:val="04A0" w:firstRow="1" w:lastRow="0" w:firstColumn="1" w:lastColumn="0" w:noHBand="0" w:noVBand="1"/>
      </w:tblPr>
      <w:tblGrid>
        <w:gridCol w:w="1560"/>
        <w:gridCol w:w="1842"/>
        <w:gridCol w:w="1276"/>
        <w:gridCol w:w="6117"/>
      </w:tblGrid>
      <w:tr w:rsidR="000C6A0D" w:rsidRPr="006623EF" w14:paraId="73BC8B89" w14:textId="77777777" w:rsidTr="007A318E">
        <w:trPr>
          <w:tblHeader/>
        </w:trPr>
        <w:tc>
          <w:tcPr>
            <w:tcW w:w="1560" w:type="dxa"/>
            <w:shd w:val="clear" w:color="auto" w:fill="B4C6E7" w:themeFill="accent1" w:themeFillTint="66"/>
            <w:vAlign w:val="center"/>
          </w:tcPr>
          <w:p w14:paraId="7A0CA9B0" w14:textId="77777777" w:rsidR="000C6A0D" w:rsidRPr="006623EF" w:rsidRDefault="000C6A0D" w:rsidP="007A318E">
            <w:pPr>
              <w:pStyle w:val="ListParagraph"/>
              <w:ind w:left="0"/>
              <w:jc w:val="center"/>
              <w:rPr>
                <w:rFonts w:eastAsiaTheme="minorEastAsia"/>
                <w:b/>
                <w:bCs/>
                <w:sz w:val="22"/>
                <w:szCs w:val="22"/>
              </w:rPr>
            </w:pPr>
            <w:r w:rsidRPr="006623EF">
              <w:rPr>
                <w:rFonts w:eastAsiaTheme="minorEastAsia"/>
                <w:b/>
                <w:bCs/>
                <w:sz w:val="22"/>
                <w:szCs w:val="22"/>
              </w:rPr>
              <w:t>Name</w:t>
            </w:r>
          </w:p>
        </w:tc>
        <w:tc>
          <w:tcPr>
            <w:tcW w:w="1842" w:type="dxa"/>
            <w:shd w:val="clear" w:color="auto" w:fill="B4C6E7" w:themeFill="accent1" w:themeFillTint="66"/>
            <w:vAlign w:val="center"/>
          </w:tcPr>
          <w:p w14:paraId="52D6CBF5" w14:textId="77777777" w:rsidR="000C6A0D" w:rsidRPr="006623EF" w:rsidRDefault="000C6A0D" w:rsidP="007A318E">
            <w:pPr>
              <w:pStyle w:val="ListParagraph"/>
              <w:ind w:left="0"/>
              <w:jc w:val="center"/>
              <w:rPr>
                <w:rFonts w:eastAsiaTheme="minorEastAsia"/>
                <w:b/>
                <w:bCs/>
                <w:sz w:val="22"/>
                <w:szCs w:val="22"/>
              </w:rPr>
            </w:pPr>
            <w:r w:rsidRPr="006623EF">
              <w:rPr>
                <w:rFonts w:eastAsiaTheme="minorEastAsia"/>
                <w:b/>
                <w:bCs/>
                <w:sz w:val="22"/>
                <w:szCs w:val="22"/>
              </w:rPr>
              <w:t>Position</w:t>
            </w:r>
          </w:p>
        </w:tc>
        <w:tc>
          <w:tcPr>
            <w:tcW w:w="1276" w:type="dxa"/>
            <w:shd w:val="clear" w:color="auto" w:fill="B4C6E7" w:themeFill="accent1" w:themeFillTint="66"/>
            <w:vAlign w:val="center"/>
          </w:tcPr>
          <w:p w14:paraId="155B5C22" w14:textId="77777777" w:rsidR="000C6A0D" w:rsidRPr="006623EF" w:rsidRDefault="000C6A0D" w:rsidP="007A318E">
            <w:pPr>
              <w:pStyle w:val="ListParagraph"/>
              <w:ind w:left="0"/>
              <w:jc w:val="center"/>
              <w:rPr>
                <w:rFonts w:eastAsiaTheme="minorEastAsia"/>
                <w:b/>
                <w:bCs/>
                <w:sz w:val="22"/>
                <w:szCs w:val="22"/>
              </w:rPr>
            </w:pPr>
            <w:r w:rsidRPr="006623EF">
              <w:rPr>
                <w:rFonts w:eastAsiaTheme="minorEastAsia"/>
                <w:b/>
                <w:bCs/>
                <w:sz w:val="22"/>
                <w:szCs w:val="22"/>
              </w:rPr>
              <w:t>% Effort (estimated)</w:t>
            </w:r>
          </w:p>
        </w:tc>
        <w:tc>
          <w:tcPr>
            <w:tcW w:w="6117" w:type="dxa"/>
            <w:shd w:val="clear" w:color="auto" w:fill="B4C6E7" w:themeFill="accent1" w:themeFillTint="66"/>
            <w:vAlign w:val="center"/>
          </w:tcPr>
          <w:p w14:paraId="6CEA4DEE" w14:textId="77777777" w:rsidR="000C6A0D" w:rsidRPr="006623EF" w:rsidRDefault="000C6A0D" w:rsidP="007A318E">
            <w:pPr>
              <w:pStyle w:val="ListParagraph"/>
              <w:ind w:left="0"/>
              <w:jc w:val="center"/>
              <w:rPr>
                <w:rFonts w:eastAsiaTheme="minorEastAsia"/>
                <w:b/>
                <w:bCs/>
                <w:sz w:val="22"/>
                <w:szCs w:val="22"/>
              </w:rPr>
            </w:pPr>
            <w:r w:rsidRPr="006623EF">
              <w:rPr>
                <w:rFonts w:eastAsiaTheme="minorEastAsia"/>
                <w:b/>
                <w:bCs/>
                <w:sz w:val="22"/>
                <w:szCs w:val="22"/>
              </w:rPr>
              <w:t>Responsibilities</w:t>
            </w:r>
          </w:p>
        </w:tc>
      </w:tr>
      <w:tr w:rsidR="000C6A0D" w:rsidRPr="006623EF" w14:paraId="6C095115" w14:textId="77777777" w:rsidTr="007A318E">
        <w:tc>
          <w:tcPr>
            <w:tcW w:w="1560" w:type="dxa"/>
            <w:vAlign w:val="center"/>
          </w:tcPr>
          <w:p w14:paraId="2341EC26" w14:textId="343C886D" w:rsidR="000C6A0D" w:rsidRPr="00AE1922" w:rsidRDefault="00F15BF4" w:rsidP="007A318E">
            <w:pPr>
              <w:pStyle w:val="ListParagraph"/>
              <w:ind w:left="0"/>
              <w:jc w:val="center"/>
              <w:rPr>
                <w:rFonts w:eastAsiaTheme="minorEastAsia"/>
                <w:sz w:val="22"/>
                <w:szCs w:val="22"/>
                <w:lang w:val="es-PR"/>
              </w:rPr>
            </w:pPr>
            <w:r>
              <w:rPr>
                <w:rFonts w:eastAsiaTheme="minorEastAsia"/>
                <w:sz w:val="22"/>
                <w:szCs w:val="22"/>
                <w:lang w:val="es-PR"/>
              </w:rPr>
              <w:t>Miguel A. Negrón</w:t>
            </w:r>
          </w:p>
        </w:tc>
        <w:tc>
          <w:tcPr>
            <w:tcW w:w="1842" w:type="dxa"/>
            <w:vAlign w:val="center"/>
          </w:tcPr>
          <w:p w14:paraId="330D3E81" w14:textId="77777777" w:rsidR="000C6A0D" w:rsidRPr="006623EF" w:rsidRDefault="000C6A0D" w:rsidP="007A318E">
            <w:pPr>
              <w:pStyle w:val="ListParagraph"/>
              <w:ind w:left="0"/>
              <w:jc w:val="center"/>
              <w:rPr>
                <w:rFonts w:eastAsiaTheme="minorEastAsia"/>
                <w:sz w:val="22"/>
                <w:szCs w:val="22"/>
              </w:rPr>
            </w:pPr>
            <w:r w:rsidRPr="006623EF">
              <w:rPr>
                <w:rFonts w:eastAsiaTheme="minorEastAsia"/>
                <w:sz w:val="22"/>
                <w:szCs w:val="22"/>
              </w:rPr>
              <w:t>Auxiliary Secretary</w:t>
            </w:r>
          </w:p>
        </w:tc>
        <w:tc>
          <w:tcPr>
            <w:tcW w:w="1276" w:type="dxa"/>
            <w:vAlign w:val="center"/>
          </w:tcPr>
          <w:p w14:paraId="1E23A665" w14:textId="77777777" w:rsidR="000C6A0D" w:rsidRPr="006623EF" w:rsidRDefault="000C6A0D" w:rsidP="007A318E">
            <w:pPr>
              <w:pStyle w:val="ListParagraph"/>
              <w:ind w:left="0"/>
              <w:jc w:val="center"/>
              <w:rPr>
                <w:rFonts w:eastAsiaTheme="minorEastAsia"/>
                <w:sz w:val="22"/>
                <w:szCs w:val="22"/>
              </w:rPr>
            </w:pPr>
            <w:r>
              <w:rPr>
                <w:rFonts w:eastAsiaTheme="minorEastAsia"/>
                <w:sz w:val="22"/>
                <w:szCs w:val="22"/>
              </w:rPr>
              <w:t>16</w:t>
            </w:r>
            <w:r w:rsidRPr="006623EF">
              <w:rPr>
                <w:rFonts w:eastAsiaTheme="minorEastAsia"/>
                <w:sz w:val="22"/>
                <w:szCs w:val="22"/>
              </w:rPr>
              <w:t>%</w:t>
            </w:r>
          </w:p>
        </w:tc>
        <w:tc>
          <w:tcPr>
            <w:tcW w:w="6117" w:type="dxa"/>
            <w:vAlign w:val="center"/>
          </w:tcPr>
          <w:p w14:paraId="58B327C3" w14:textId="77777777" w:rsidR="000C6A0D" w:rsidRPr="006623EF" w:rsidRDefault="000C6A0D" w:rsidP="007A318E">
            <w:pPr>
              <w:pStyle w:val="ListParagraph"/>
              <w:ind w:left="0"/>
              <w:jc w:val="center"/>
              <w:rPr>
                <w:rFonts w:eastAsiaTheme="minorEastAsia"/>
                <w:sz w:val="22"/>
                <w:szCs w:val="22"/>
              </w:rPr>
            </w:pPr>
            <w:r w:rsidRPr="006623EF">
              <w:rPr>
                <w:rFonts w:eastAsiaTheme="minorEastAsia"/>
                <w:sz w:val="22"/>
                <w:szCs w:val="22"/>
              </w:rPr>
              <w:t xml:space="preserve">Overseer of the Auxiliary Secretariat of Federal Affairs. He is in charge of supervising all personnel that </w:t>
            </w:r>
            <w:r>
              <w:rPr>
                <w:rFonts w:eastAsiaTheme="minorEastAsia"/>
                <w:sz w:val="22"/>
                <w:szCs w:val="22"/>
              </w:rPr>
              <w:t>is</w:t>
            </w:r>
            <w:r w:rsidRPr="006623EF">
              <w:rPr>
                <w:rFonts w:eastAsiaTheme="minorEastAsia"/>
                <w:sz w:val="22"/>
                <w:szCs w:val="22"/>
              </w:rPr>
              <w:t xml:space="preserve"> working with the </w:t>
            </w:r>
            <w:r>
              <w:rPr>
                <w:rFonts w:eastAsiaTheme="minorEastAsia"/>
                <w:sz w:val="22"/>
                <w:szCs w:val="22"/>
              </w:rPr>
              <w:t>Restart</w:t>
            </w:r>
            <w:r w:rsidRPr="006623EF">
              <w:rPr>
                <w:rFonts w:eastAsiaTheme="minorEastAsia"/>
                <w:sz w:val="22"/>
                <w:szCs w:val="22"/>
              </w:rPr>
              <w:t xml:space="preserve"> Funds</w:t>
            </w:r>
            <w:r>
              <w:rPr>
                <w:rFonts w:eastAsiaTheme="minorEastAsia"/>
                <w:sz w:val="22"/>
                <w:szCs w:val="22"/>
              </w:rPr>
              <w:t xml:space="preserve">, all </w:t>
            </w:r>
            <w:r w:rsidRPr="006623EF">
              <w:rPr>
                <w:rFonts w:eastAsiaTheme="minorEastAsia"/>
                <w:sz w:val="22"/>
                <w:szCs w:val="22"/>
              </w:rPr>
              <w:t xml:space="preserve">other federal programs under </w:t>
            </w:r>
            <w:r>
              <w:rPr>
                <w:rFonts w:eastAsiaTheme="minorEastAsia"/>
                <w:sz w:val="22"/>
                <w:szCs w:val="22"/>
              </w:rPr>
              <w:t>Restart and</w:t>
            </w:r>
            <w:r w:rsidRPr="006623EF">
              <w:rPr>
                <w:rFonts w:eastAsiaTheme="minorEastAsia"/>
                <w:sz w:val="22"/>
                <w:szCs w:val="22"/>
              </w:rPr>
              <w:t xml:space="preserve"> other </w:t>
            </w:r>
            <w:r>
              <w:rPr>
                <w:rFonts w:eastAsiaTheme="minorEastAsia"/>
                <w:sz w:val="22"/>
                <w:szCs w:val="22"/>
              </w:rPr>
              <w:t xml:space="preserve">programs under other </w:t>
            </w:r>
            <w:r w:rsidRPr="006623EF">
              <w:rPr>
                <w:rFonts w:eastAsiaTheme="minorEastAsia"/>
                <w:sz w:val="22"/>
                <w:szCs w:val="22"/>
              </w:rPr>
              <w:t>regulations</w:t>
            </w:r>
            <w:r>
              <w:rPr>
                <w:rFonts w:eastAsiaTheme="minorEastAsia"/>
                <w:sz w:val="22"/>
                <w:szCs w:val="22"/>
              </w:rPr>
              <w:t>, through which funds are authorized to the PRDE</w:t>
            </w:r>
            <w:r w:rsidRPr="006623EF">
              <w:rPr>
                <w:rFonts w:eastAsiaTheme="minorEastAsia"/>
                <w:sz w:val="22"/>
                <w:szCs w:val="22"/>
              </w:rPr>
              <w:t>.</w:t>
            </w:r>
          </w:p>
        </w:tc>
      </w:tr>
      <w:tr w:rsidR="000C6A0D" w:rsidRPr="006623EF" w14:paraId="6B494042" w14:textId="77777777" w:rsidTr="007A318E">
        <w:tc>
          <w:tcPr>
            <w:tcW w:w="1560" w:type="dxa"/>
            <w:vAlign w:val="center"/>
          </w:tcPr>
          <w:p w14:paraId="7ADF8D7B" w14:textId="77777777" w:rsidR="000C6A0D" w:rsidRPr="00F14829" w:rsidRDefault="000C6A0D" w:rsidP="007A318E">
            <w:pPr>
              <w:pStyle w:val="ListParagraph"/>
              <w:ind w:left="0"/>
              <w:jc w:val="center"/>
              <w:rPr>
                <w:rFonts w:eastAsiaTheme="minorEastAsia"/>
                <w:sz w:val="22"/>
                <w:szCs w:val="22"/>
              </w:rPr>
            </w:pPr>
            <w:r w:rsidRPr="00F14829">
              <w:rPr>
                <w:rFonts w:eastAsiaTheme="minorEastAsia"/>
                <w:sz w:val="22"/>
                <w:szCs w:val="22"/>
              </w:rPr>
              <w:t>Edgar Delgado</w:t>
            </w:r>
          </w:p>
        </w:tc>
        <w:tc>
          <w:tcPr>
            <w:tcW w:w="1842" w:type="dxa"/>
            <w:vAlign w:val="center"/>
          </w:tcPr>
          <w:p w14:paraId="6D438E8F" w14:textId="0F78CDB1" w:rsidR="000C6A0D" w:rsidRPr="00F14829" w:rsidRDefault="00EC29AF" w:rsidP="007A318E">
            <w:pPr>
              <w:pStyle w:val="ListParagraph"/>
              <w:ind w:left="0"/>
              <w:jc w:val="center"/>
              <w:rPr>
                <w:rFonts w:eastAsiaTheme="minorEastAsia"/>
                <w:sz w:val="22"/>
                <w:szCs w:val="22"/>
              </w:rPr>
            </w:pPr>
            <w:r>
              <w:rPr>
                <w:rFonts w:eastAsiaTheme="minorEastAsia"/>
                <w:sz w:val="22"/>
                <w:szCs w:val="22"/>
              </w:rPr>
              <w:t>Coordinator</w:t>
            </w:r>
          </w:p>
        </w:tc>
        <w:tc>
          <w:tcPr>
            <w:tcW w:w="1276" w:type="dxa"/>
            <w:vAlign w:val="center"/>
          </w:tcPr>
          <w:p w14:paraId="53C0ECEC" w14:textId="77777777" w:rsidR="000C6A0D" w:rsidRPr="00F14829" w:rsidRDefault="000C6A0D" w:rsidP="007A318E">
            <w:pPr>
              <w:pStyle w:val="ListParagraph"/>
              <w:ind w:left="0"/>
              <w:jc w:val="center"/>
              <w:rPr>
                <w:rFonts w:eastAsiaTheme="minorEastAsia"/>
                <w:sz w:val="22"/>
                <w:szCs w:val="22"/>
              </w:rPr>
            </w:pPr>
            <w:r>
              <w:rPr>
                <w:rFonts w:eastAsiaTheme="minorEastAsia"/>
                <w:sz w:val="22"/>
                <w:szCs w:val="22"/>
              </w:rPr>
              <w:t>60%</w:t>
            </w:r>
          </w:p>
        </w:tc>
        <w:tc>
          <w:tcPr>
            <w:tcW w:w="6117" w:type="dxa"/>
            <w:vAlign w:val="center"/>
          </w:tcPr>
          <w:p w14:paraId="2B4E0602" w14:textId="658AE1F4" w:rsidR="000C6A0D" w:rsidRPr="00F14829" w:rsidRDefault="00CA2445" w:rsidP="007A318E">
            <w:pPr>
              <w:pStyle w:val="ListParagraph"/>
              <w:ind w:left="0"/>
              <w:jc w:val="center"/>
              <w:rPr>
                <w:rFonts w:eastAsiaTheme="minorEastAsia"/>
                <w:sz w:val="22"/>
                <w:szCs w:val="22"/>
              </w:rPr>
            </w:pPr>
            <w:r w:rsidRPr="006623EF">
              <w:rPr>
                <w:rFonts w:eastAsiaTheme="minorEastAsia"/>
                <w:sz w:val="22"/>
                <w:szCs w:val="22"/>
              </w:rPr>
              <w:t xml:space="preserve">Lead of the Office of Disaster Recovery and Special Programs ascribed to Federal Affairs. He </w:t>
            </w:r>
            <w:r>
              <w:rPr>
                <w:rFonts w:eastAsiaTheme="minorEastAsia"/>
                <w:sz w:val="22"/>
                <w:szCs w:val="22"/>
              </w:rPr>
              <w:t>is</w:t>
            </w:r>
            <w:r w:rsidRPr="006623EF">
              <w:rPr>
                <w:rFonts w:eastAsiaTheme="minorEastAsia"/>
                <w:sz w:val="22"/>
                <w:szCs w:val="22"/>
              </w:rPr>
              <w:t xml:space="preserve"> </w:t>
            </w:r>
            <w:r>
              <w:rPr>
                <w:rFonts w:eastAsiaTheme="minorEastAsia"/>
                <w:sz w:val="22"/>
                <w:szCs w:val="22"/>
              </w:rPr>
              <w:t>responsible</w:t>
            </w:r>
            <w:r w:rsidRPr="006623EF">
              <w:rPr>
                <w:rFonts w:eastAsiaTheme="minorEastAsia"/>
                <w:sz w:val="22"/>
                <w:szCs w:val="22"/>
              </w:rPr>
              <w:t xml:space="preserve"> of all administrative tasks,</w:t>
            </w:r>
            <w:r>
              <w:rPr>
                <w:rFonts w:eastAsiaTheme="minorEastAsia"/>
                <w:sz w:val="22"/>
                <w:szCs w:val="22"/>
              </w:rPr>
              <w:t xml:space="preserve"> of the</w:t>
            </w:r>
            <w:r w:rsidRPr="006623EF">
              <w:rPr>
                <w:rFonts w:eastAsiaTheme="minorEastAsia"/>
                <w:sz w:val="22"/>
                <w:szCs w:val="22"/>
              </w:rPr>
              <w:t xml:space="preserve"> review of applications, approvals, certifying the availability of funds</w:t>
            </w:r>
            <w:r>
              <w:rPr>
                <w:rFonts w:eastAsiaTheme="minorEastAsia"/>
                <w:sz w:val="22"/>
                <w:szCs w:val="22"/>
              </w:rPr>
              <w:t xml:space="preserve">, making sure that requisitions are being </w:t>
            </w:r>
            <w:r>
              <w:rPr>
                <w:rFonts w:eastAsiaTheme="minorEastAsia"/>
                <w:sz w:val="22"/>
                <w:szCs w:val="22"/>
              </w:rPr>
              <w:lastRenderedPageBreak/>
              <w:t>processed</w:t>
            </w:r>
            <w:r w:rsidRPr="006623EF">
              <w:rPr>
                <w:rFonts w:eastAsiaTheme="minorEastAsia"/>
                <w:sz w:val="22"/>
                <w:szCs w:val="22"/>
              </w:rPr>
              <w:t xml:space="preserve"> and </w:t>
            </w:r>
            <w:r>
              <w:rPr>
                <w:rFonts w:eastAsiaTheme="minorEastAsia"/>
                <w:sz w:val="22"/>
                <w:szCs w:val="22"/>
              </w:rPr>
              <w:t xml:space="preserve">of </w:t>
            </w:r>
            <w:r w:rsidRPr="006623EF">
              <w:rPr>
                <w:rFonts w:eastAsiaTheme="minorEastAsia"/>
                <w:sz w:val="22"/>
                <w:szCs w:val="22"/>
              </w:rPr>
              <w:t xml:space="preserve">the distribution of tasks among the personnel of the office. </w:t>
            </w:r>
            <w:r>
              <w:rPr>
                <w:rFonts w:eastAsiaTheme="minorEastAsia"/>
                <w:sz w:val="22"/>
                <w:szCs w:val="22"/>
              </w:rPr>
              <w:t>He also provides</w:t>
            </w:r>
            <w:r w:rsidR="000C6A0D" w:rsidRPr="00F14829">
              <w:rPr>
                <w:rFonts w:eastAsiaTheme="minorEastAsia"/>
                <w:sz w:val="22"/>
                <w:szCs w:val="22"/>
              </w:rPr>
              <w:t xml:space="preserve"> assistance to the different initiatives and follow up</w:t>
            </w:r>
            <w:r w:rsidR="000C6A0D">
              <w:rPr>
                <w:rFonts w:eastAsiaTheme="minorEastAsia"/>
                <w:sz w:val="22"/>
                <w:szCs w:val="22"/>
              </w:rPr>
              <w:t xml:space="preserve"> with the initiative’s directors</w:t>
            </w:r>
            <w:r w:rsidR="000C6A0D" w:rsidRPr="00F14829">
              <w:rPr>
                <w:rFonts w:eastAsiaTheme="minorEastAsia"/>
                <w:sz w:val="22"/>
                <w:szCs w:val="22"/>
              </w:rPr>
              <w:t xml:space="preserve">. </w:t>
            </w:r>
            <w:r>
              <w:rPr>
                <w:rFonts w:eastAsiaTheme="minorEastAsia"/>
                <w:sz w:val="22"/>
                <w:szCs w:val="22"/>
              </w:rPr>
              <w:t>R</w:t>
            </w:r>
            <w:r w:rsidR="000C6A0D" w:rsidRPr="00F14829">
              <w:rPr>
                <w:rFonts w:eastAsiaTheme="minorEastAsia"/>
                <w:sz w:val="22"/>
                <w:szCs w:val="22"/>
              </w:rPr>
              <w:t xml:space="preserve">eviews documents, work plans, petitions and other similar documents. </w:t>
            </w:r>
          </w:p>
        </w:tc>
      </w:tr>
      <w:tr w:rsidR="00EC29AF" w:rsidRPr="006623EF" w14:paraId="09E421FB" w14:textId="77777777" w:rsidTr="007A318E">
        <w:tc>
          <w:tcPr>
            <w:tcW w:w="1560" w:type="dxa"/>
            <w:vAlign w:val="center"/>
          </w:tcPr>
          <w:p w14:paraId="458203FF" w14:textId="27A7B7D6" w:rsidR="00EC29AF" w:rsidRPr="00F14829" w:rsidRDefault="00EC29AF" w:rsidP="007A318E">
            <w:pPr>
              <w:pStyle w:val="ListParagraph"/>
              <w:ind w:left="0"/>
              <w:jc w:val="center"/>
              <w:rPr>
                <w:rFonts w:eastAsiaTheme="minorEastAsia"/>
                <w:sz w:val="22"/>
                <w:szCs w:val="22"/>
              </w:rPr>
            </w:pPr>
            <w:r>
              <w:rPr>
                <w:rFonts w:eastAsiaTheme="minorEastAsia"/>
                <w:sz w:val="22"/>
                <w:szCs w:val="22"/>
              </w:rPr>
              <w:lastRenderedPageBreak/>
              <w:t>Vacant</w:t>
            </w:r>
          </w:p>
        </w:tc>
        <w:tc>
          <w:tcPr>
            <w:tcW w:w="1842" w:type="dxa"/>
            <w:vAlign w:val="center"/>
          </w:tcPr>
          <w:p w14:paraId="27E021EF" w14:textId="41FB8CF2" w:rsidR="00EC29AF" w:rsidRPr="00F14829" w:rsidRDefault="00EC29AF" w:rsidP="007A318E">
            <w:pPr>
              <w:pStyle w:val="ListParagraph"/>
              <w:ind w:left="0"/>
              <w:jc w:val="center"/>
              <w:rPr>
                <w:rFonts w:eastAsiaTheme="minorEastAsia"/>
                <w:sz w:val="22"/>
                <w:szCs w:val="22"/>
              </w:rPr>
            </w:pPr>
            <w:r>
              <w:rPr>
                <w:rFonts w:eastAsiaTheme="minorEastAsia"/>
                <w:sz w:val="22"/>
                <w:szCs w:val="22"/>
              </w:rPr>
              <w:t>Program Officer</w:t>
            </w:r>
          </w:p>
        </w:tc>
        <w:tc>
          <w:tcPr>
            <w:tcW w:w="1276" w:type="dxa"/>
            <w:vAlign w:val="center"/>
          </w:tcPr>
          <w:p w14:paraId="5C828E90" w14:textId="279D080F" w:rsidR="00EC29AF" w:rsidRDefault="00EC29AF" w:rsidP="007A318E">
            <w:pPr>
              <w:pStyle w:val="ListParagraph"/>
              <w:ind w:left="0"/>
              <w:jc w:val="center"/>
              <w:rPr>
                <w:rFonts w:eastAsiaTheme="minorEastAsia"/>
                <w:sz w:val="22"/>
                <w:szCs w:val="22"/>
              </w:rPr>
            </w:pPr>
            <w:r>
              <w:rPr>
                <w:rFonts w:eastAsiaTheme="minorEastAsia"/>
                <w:sz w:val="22"/>
                <w:szCs w:val="22"/>
              </w:rPr>
              <w:t>100%</w:t>
            </w:r>
          </w:p>
        </w:tc>
        <w:tc>
          <w:tcPr>
            <w:tcW w:w="6117" w:type="dxa"/>
            <w:vAlign w:val="center"/>
          </w:tcPr>
          <w:p w14:paraId="17A401C2" w14:textId="2436FCBC" w:rsidR="00EC29AF" w:rsidRPr="006623EF" w:rsidRDefault="00EC29AF" w:rsidP="007A318E">
            <w:pPr>
              <w:pStyle w:val="ListParagraph"/>
              <w:ind w:left="0"/>
              <w:jc w:val="center"/>
              <w:rPr>
                <w:rFonts w:eastAsiaTheme="minorEastAsia"/>
                <w:sz w:val="22"/>
                <w:szCs w:val="22"/>
              </w:rPr>
            </w:pPr>
            <w:r>
              <w:rPr>
                <w:rFonts w:eastAsiaTheme="minorEastAsia"/>
                <w:sz w:val="22"/>
                <w:szCs w:val="22"/>
              </w:rPr>
              <w:t xml:space="preserve">This program officer will provide assistance to the coordinator with his responsibilities, will follow up to initiatives, will be overseeing the processes of procuring goods and services; will assist with trainings and orientations; and will provide technical assistance to the different initiative’s leads, among other administrative tasks related to the Restart program. </w:t>
            </w:r>
          </w:p>
        </w:tc>
      </w:tr>
      <w:tr w:rsidR="000C6A0D" w:rsidRPr="006623EF" w14:paraId="2339A1B1" w14:textId="77777777" w:rsidTr="007A318E">
        <w:tc>
          <w:tcPr>
            <w:tcW w:w="1560" w:type="dxa"/>
            <w:vAlign w:val="center"/>
          </w:tcPr>
          <w:p w14:paraId="74331364" w14:textId="77777777" w:rsidR="000C6A0D" w:rsidRPr="00F14829" w:rsidRDefault="000C6A0D" w:rsidP="007A318E">
            <w:pPr>
              <w:pStyle w:val="ListParagraph"/>
              <w:ind w:left="0"/>
              <w:jc w:val="center"/>
              <w:rPr>
                <w:rFonts w:eastAsiaTheme="minorEastAsia"/>
                <w:sz w:val="22"/>
                <w:szCs w:val="22"/>
              </w:rPr>
            </w:pPr>
            <w:r>
              <w:rPr>
                <w:rFonts w:eastAsiaTheme="minorEastAsia"/>
                <w:sz w:val="22"/>
                <w:szCs w:val="22"/>
              </w:rPr>
              <w:t>Vacant</w:t>
            </w:r>
          </w:p>
        </w:tc>
        <w:tc>
          <w:tcPr>
            <w:tcW w:w="1842" w:type="dxa"/>
            <w:vAlign w:val="center"/>
          </w:tcPr>
          <w:p w14:paraId="667BE76D" w14:textId="77777777" w:rsidR="000C6A0D" w:rsidRPr="00F14829" w:rsidRDefault="000C6A0D" w:rsidP="007A318E">
            <w:pPr>
              <w:pStyle w:val="ListParagraph"/>
              <w:ind w:left="0"/>
              <w:jc w:val="center"/>
              <w:rPr>
                <w:rFonts w:eastAsiaTheme="minorEastAsia"/>
                <w:sz w:val="22"/>
                <w:szCs w:val="22"/>
              </w:rPr>
            </w:pPr>
            <w:r w:rsidRPr="00F14829">
              <w:rPr>
                <w:rFonts w:eastAsiaTheme="minorEastAsia"/>
                <w:sz w:val="22"/>
                <w:szCs w:val="22"/>
              </w:rPr>
              <w:t>Compliance Lead</w:t>
            </w:r>
          </w:p>
        </w:tc>
        <w:tc>
          <w:tcPr>
            <w:tcW w:w="1276" w:type="dxa"/>
            <w:vAlign w:val="center"/>
          </w:tcPr>
          <w:p w14:paraId="3A6A236E" w14:textId="77777777" w:rsidR="000C6A0D" w:rsidRPr="00F14829" w:rsidRDefault="000C6A0D" w:rsidP="007A318E">
            <w:pPr>
              <w:pStyle w:val="ListParagraph"/>
              <w:ind w:left="0"/>
              <w:jc w:val="center"/>
              <w:rPr>
                <w:rFonts w:eastAsiaTheme="minorEastAsia"/>
                <w:sz w:val="22"/>
                <w:szCs w:val="22"/>
              </w:rPr>
            </w:pPr>
            <w:r>
              <w:rPr>
                <w:rFonts w:eastAsiaTheme="minorEastAsia"/>
                <w:sz w:val="22"/>
                <w:szCs w:val="22"/>
              </w:rPr>
              <w:t>60%</w:t>
            </w:r>
          </w:p>
        </w:tc>
        <w:tc>
          <w:tcPr>
            <w:tcW w:w="6117" w:type="dxa"/>
            <w:vAlign w:val="center"/>
          </w:tcPr>
          <w:p w14:paraId="14DDFCD8" w14:textId="77777777" w:rsidR="000C6A0D" w:rsidRPr="00F14829" w:rsidRDefault="000C6A0D" w:rsidP="007A318E">
            <w:pPr>
              <w:pStyle w:val="ListParagraph"/>
              <w:ind w:left="0"/>
              <w:jc w:val="center"/>
              <w:rPr>
                <w:rFonts w:eastAsiaTheme="minorEastAsia"/>
                <w:sz w:val="22"/>
                <w:szCs w:val="22"/>
              </w:rPr>
            </w:pPr>
            <w:r w:rsidRPr="00F14829">
              <w:rPr>
                <w:rFonts w:eastAsiaTheme="minorEastAsia"/>
                <w:sz w:val="22"/>
                <w:szCs w:val="22"/>
              </w:rPr>
              <w:t>He is the lead of the monitoring efforts and is in charge of program compliance with applicable rules</w:t>
            </w:r>
            <w:r>
              <w:rPr>
                <w:rFonts w:eastAsiaTheme="minorEastAsia"/>
                <w:sz w:val="22"/>
                <w:szCs w:val="22"/>
              </w:rPr>
              <w:t>, regulations and</w:t>
            </w:r>
            <w:r w:rsidRPr="00F14829">
              <w:rPr>
                <w:rFonts w:eastAsiaTheme="minorEastAsia"/>
                <w:sz w:val="22"/>
                <w:szCs w:val="22"/>
              </w:rPr>
              <w:t xml:space="preserve"> requirements. </w:t>
            </w:r>
          </w:p>
        </w:tc>
      </w:tr>
      <w:tr w:rsidR="000C6A0D" w:rsidRPr="006623EF" w14:paraId="286C6142" w14:textId="77777777" w:rsidTr="007A318E">
        <w:tc>
          <w:tcPr>
            <w:tcW w:w="1560" w:type="dxa"/>
            <w:vAlign w:val="center"/>
          </w:tcPr>
          <w:p w14:paraId="74FCD81E" w14:textId="77777777" w:rsidR="000C6A0D" w:rsidRPr="006623EF" w:rsidRDefault="000C6A0D" w:rsidP="007A318E">
            <w:pPr>
              <w:pStyle w:val="ListParagraph"/>
              <w:ind w:left="0"/>
              <w:jc w:val="center"/>
              <w:rPr>
                <w:rFonts w:eastAsiaTheme="minorEastAsia"/>
                <w:sz w:val="22"/>
                <w:szCs w:val="22"/>
              </w:rPr>
            </w:pPr>
            <w:r w:rsidRPr="006623EF">
              <w:rPr>
                <w:rFonts w:eastAsiaTheme="minorEastAsia"/>
                <w:sz w:val="22"/>
                <w:szCs w:val="22"/>
              </w:rPr>
              <w:t>Héctor Díaz</w:t>
            </w:r>
          </w:p>
        </w:tc>
        <w:tc>
          <w:tcPr>
            <w:tcW w:w="1842" w:type="dxa"/>
            <w:vAlign w:val="center"/>
          </w:tcPr>
          <w:p w14:paraId="22FBE86B" w14:textId="77777777" w:rsidR="000C6A0D" w:rsidRPr="006623EF" w:rsidRDefault="000C6A0D" w:rsidP="007A318E">
            <w:pPr>
              <w:pStyle w:val="ListParagraph"/>
              <w:ind w:left="0"/>
              <w:jc w:val="center"/>
              <w:rPr>
                <w:rFonts w:eastAsiaTheme="minorEastAsia"/>
                <w:sz w:val="22"/>
                <w:szCs w:val="22"/>
              </w:rPr>
            </w:pPr>
            <w:r w:rsidRPr="006623EF">
              <w:rPr>
                <w:rFonts w:eastAsiaTheme="minorEastAsia"/>
                <w:sz w:val="22"/>
                <w:szCs w:val="22"/>
              </w:rPr>
              <w:t>Fiscal Officer</w:t>
            </w:r>
          </w:p>
        </w:tc>
        <w:tc>
          <w:tcPr>
            <w:tcW w:w="1276" w:type="dxa"/>
            <w:vAlign w:val="center"/>
          </w:tcPr>
          <w:p w14:paraId="35100B8A" w14:textId="77777777" w:rsidR="000C6A0D" w:rsidRPr="006623EF" w:rsidRDefault="000C6A0D" w:rsidP="007A318E">
            <w:pPr>
              <w:pStyle w:val="ListParagraph"/>
              <w:ind w:left="0"/>
              <w:jc w:val="center"/>
              <w:rPr>
                <w:rFonts w:eastAsiaTheme="minorEastAsia"/>
                <w:sz w:val="22"/>
                <w:szCs w:val="22"/>
              </w:rPr>
            </w:pPr>
            <w:r>
              <w:rPr>
                <w:rFonts w:eastAsiaTheme="minorEastAsia"/>
                <w:sz w:val="22"/>
                <w:szCs w:val="22"/>
              </w:rPr>
              <w:t>60%</w:t>
            </w:r>
          </w:p>
        </w:tc>
        <w:tc>
          <w:tcPr>
            <w:tcW w:w="6117" w:type="dxa"/>
            <w:vAlign w:val="center"/>
          </w:tcPr>
          <w:p w14:paraId="43978F97" w14:textId="77777777" w:rsidR="000C6A0D" w:rsidRPr="006623EF" w:rsidRDefault="000C6A0D" w:rsidP="007A318E">
            <w:pPr>
              <w:pStyle w:val="ListParagraph"/>
              <w:ind w:left="0"/>
              <w:jc w:val="center"/>
              <w:rPr>
                <w:rFonts w:eastAsiaTheme="minorEastAsia"/>
                <w:sz w:val="22"/>
                <w:szCs w:val="22"/>
              </w:rPr>
            </w:pPr>
            <w:r w:rsidRPr="006623EF">
              <w:rPr>
                <w:rFonts w:eastAsiaTheme="minorEastAsia"/>
                <w:sz w:val="22"/>
                <w:szCs w:val="22"/>
              </w:rPr>
              <w:t>As a fiscal officer</w:t>
            </w:r>
            <w:r>
              <w:rPr>
                <w:rFonts w:eastAsiaTheme="minorEastAsia"/>
                <w:sz w:val="22"/>
                <w:szCs w:val="22"/>
              </w:rPr>
              <w:t>, this</w:t>
            </w:r>
            <w:r w:rsidRPr="006623EF">
              <w:rPr>
                <w:rFonts w:eastAsiaTheme="minorEastAsia"/>
                <w:sz w:val="22"/>
                <w:szCs w:val="22"/>
              </w:rPr>
              <w:t xml:space="preserve"> is the</w:t>
            </w:r>
            <w:r>
              <w:rPr>
                <w:rFonts w:eastAsiaTheme="minorEastAsia"/>
                <w:sz w:val="22"/>
                <w:szCs w:val="22"/>
              </w:rPr>
              <w:t xml:space="preserve"> person</w:t>
            </w:r>
            <w:r w:rsidRPr="006623EF">
              <w:rPr>
                <w:rFonts w:eastAsiaTheme="minorEastAsia"/>
                <w:sz w:val="22"/>
                <w:szCs w:val="22"/>
              </w:rPr>
              <w:t xml:space="preserve"> in charge of preparing budgets, invoice interventions, requisitions review, transfer of funds and all other financial transactions.  </w:t>
            </w:r>
          </w:p>
        </w:tc>
      </w:tr>
      <w:tr w:rsidR="000C6A0D" w:rsidRPr="006623EF" w14:paraId="38FE9824" w14:textId="77777777" w:rsidTr="007A318E">
        <w:tc>
          <w:tcPr>
            <w:tcW w:w="1560" w:type="dxa"/>
            <w:vAlign w:val="center"/>
          </w:tcPr>
          <w:p w14:paraId="60DBECCD" w14:textId="77777777" w:rsidR="000C6A0D" w:rsidRPr="006623EF" w:rsidRDefault="000C6A0D" w:rsidP="007A318E">
            <w:pPr>
              <w:pStyle w:val="ListParagraph"/>
              <w:ind w:left="0"/>
              <w:jc w:val="center"/>
              <w:rPr>
                <w:rFonts w:eastAsiaTheme="minorEastAsia"/>
                <w:sz w:val="22"/>
                <w:szCs w:val="22"/>
              </w:rPr>
            </w:pPr>
            <w:r w:rsidRPr="006623EF">
              <w:rPr>
                <w:rFonts w:eastAsiaTheme="minorEastAsia"/>
                <w:sz w:val="22"/>
                <w:szCs w:val="22"/>
              </w:rPr>
              <w:t>Ana López</w:t>
            </w:r>
          </w:p>
        </w:tc>
        <w:tc>
          <w:tcPr>
            <w:tcW w:w="1842" w:type="dxa"/>
            <w:vAlign w:val="center"/>
          </w:tcPr>
          <w:p w14:paraId="70186DC7" w14:textId="77777777" w:rsidR="000C6A0D" w:rsidRPr="006623EF" w:rsidRDefault="000C6A0D" w:rsidP="007A318E">
            <w:pPr>
              <w:pStyle w:val="ListParagraph"/>
              <w:ind w:left="0"/>
              <w:jc w:val="center"/>
              <w:rPr>
                <w:rFonts w:eastAsiaTheme="minorEastAsia"/>
                <w:sz w:val="22"/>
                <w:szCs w:val="22"/>
              </w:rPr>
            </w:pPr>
            <w:r w:rsidRPr="006623EF">
              <w:rPr>
                <w:rFonts w:eastAsiaTheme="minorEastAsia"/>
                <w:sz w:val="22"/>
                <w:szCs w:val="22"/>
              </w:rPr>
              <w:t>Administrative Assistant III</w:t>
            </w:r>
          </w:p>
        </w:tc>
        <w:tc>
          <w:tcPr>
            <w:tcW w:w="1276" w:type="dxa"/>
            <w:vAlign w:val="center"/>
          </w:tcPr>
          <w:p w14:paraId="74386E6A" w14:textId="77777777" w:rsidR="000C6A0D" w:rsidRPr="006623EF" w:rsidRDefault="000C6A0D" w:rsidP="007A318E">
            <w:pPr>
              <w:pStyle w:val="ListParagraph"/>
              <w:ind w:left="0"/>
              <w:jc w:val="center"/>
              <w:rPr>
                <w:rFonts w:eastAsiaTheme="minorEastAsia"/>
                <w:sz w:val="22"/>
                <w:szCs w:val="22"/>
              </w:rPr>
            </w:pPr>
            <w:r>
              <w:rPr>
                <w:rFonts w:eastAsiaTheme="minorEastAsia"/>
                <w:sz w:val="22"/>
                <w:szCs w:val="22"/>
              </w:rPr>
              <w:t>60%</w:t>
            </w:r>
          </w:p>
        </w:tc>
        <w:tc>
          <w:tcPr>
            <w:tcW w:w="6117" w:type="dxa"/>
            <w:vAlign w:val="center"/>
          </w:tcPr>
          <w:p w14:paraId="33F0D3EA" w14:textId="77777777" w:rsidR="000C6A0D" w:rsidRPr="006623EF" w:rsidRDefault="000C6A0D" w:rsidP="007A318E">
            <w:pPr>
              <w:pStyle w:val="ListParagraph"/>
              <w:ind w:left="0"/>
              <w:jc w:val="center"/>
              <w:rPr>
                <w:rFonts w:eastAsiaTheme="minorEastAsia"/>
                <w:sz w:val="22"/>
                <w:szCs w:val="22"/>
              </w:rPr>
            </w:pPr>
            <w:r w:rsidRPr="006623EF">
              <w:rPr>
                <w:rFonts w:eastAsiaTheme="minorEastAsia"/>
                <w:sz w:val="22"/>
                <w:szCs w:val="22"/>
              </w:rPr>
              <w:t xml:space="preserve">She is in charge of the follow up of the different initiatives, gathering and review of required documents and the provision of technical assistance when it is requested by the leads of the initiatives.  In addition, she works with the preparation of reports and the appropriate management of the program documentation.  </w:t>
            </w:r>
          </w:p>
        </w:tc>
      </w:tr>
      <w:tr w:rsidR="000C6A0D" w:rsidRPr="006623EF" w14:paraId="10304B0B" w14:textId="77777777" w:rsidTr="007A318E">
        <w:tc>
          <w:tcPr>
            <w:tcW w:w="1560" w:type="dxa"/>
            <w:vAlign w:val="center"/>
          </w:tcPr>
          <w:p w14:paraId="1A1F78A5" w14:textId="77777777" w:rsidR="000C6A0D" w:rsidRPr="006623EF" w:rsidRDefault="000C6A0D" w:rsidP="007A318E">
            <w:pPr>
              <w:pStyle w:val="ListParagraph"/>
              <w:ind w:left="0"/>
              <w:jc w:val="center"/>
              <w:rPr>
                <w:rFonts w:eastAsiaTheme="minorEastAsia"/>
                <w:sz w:val="22"/>
                <w:szCs w:val="22"/>
              </w:rPr>
            </w:pPr>
            <w:r>
              <w:rPr>
                <w:rFonts w:eastAsiaTheme="minorEastAsia"/>
                <w:sz w:val="22"/>
                <w:szCs w:val="22"/>
              </w:rPr>
              <w:t>Vacant</w:t>
            </w:r>
          </w:p>
        </w:tc>
        <w:tc>
          <w:tcPr>
            <w:tcW w:w="1842" w:type="dxa"/>
            <w:vAlign w:val="center"/>
          </w:tcPr>
          <w:p w14:paraId="44640412" w14:textId="77777777" w:rsidR="000C6A0D" w:rsidRPr="006623EF" w:rsidRDefault="000C6A0D" w:rsidP="007A318E">
            <w:pPr>
              <w:pStyle w:val="ListParagraph"/>
              <w:ind w:left="0"/>
              <w:jc w:val="center"/>
              <w:rPr>
                <w:rFonts w:eastAsiaTheme="minorEastAsia"/>
                <w:sz w:val="22"/>
                <w:szCs w:val="22"/>
              </w:rPr>
            </w:pPr>
            <w:r w:rsidRPr="006623EF">
              <w:rPr>
                <w:rFonts w:eastAsiaTheme="minorEastAsia"/>
                <w:sz w:val="22"/>
                <w:szCs w:val="22"/>
              </w:rPr>
              <w:t>Administrative Assistant II</w:t>
            </w:r>
          </w:p>
        </w:tc>
        <w:tc>
          <w:tcPr>
            <w:tcW w:w="1276" w:type="dxa"/>
            <w:vAlign w:val="center"/>
          </w:tcPr>
          <w:p w14:paraId="4BFCEDDF" w14:textId="77777777" w:rsidR="000C6A0D" w:rsidRPr="006623EF" w:rsidRDefault="000C6A0D" w:rsidP="007A318E">
            <w:pPr>
              <w:pStyle w:val="ListParagraph"/>
              <w:ind w:left="0"/>
              <w:jc w:val="center"/>
              <w:rPr>
                <w:rFonts w:eastAsiaTheme="minorEastAsia"/>
                <w:sz w:val="22"/>
                <w:szCs w:val="22"/>
              </w:rPr>
            </w:pPr>
            <w:r>
              <w:rPr>
                <w:rFonts w:eastAsiaTheme="minorEastAsia"/>
                <w:sz w:val="22"/>
                <w:szCs w:val="22"/>
              </w:rPr>
              <w:t>60%</w:t>
            </w:r>
          </w:p>
        </w:tc>
        <w:tc>
          <w:tcPr>
            <w:tcW w:w="6117" w:type="dxa"/>
            <w:vAlign w:val="center"/>
          </w:tcPr>
          <w:p w14:paraId="413E5ADB" w14:textId="77777777" w:rsidR="000C6A0D" w:rsidRPr="006623EF" w:rsidRDefault="000C6A0D" w:rsidP="007A318E">
            <w:pPr>
              <w:pStyle w:val="ListParagraph"/>
              <w:ind w:left="0"/>
              <w:rPr>
                <w:rFonts w:eastAsiaTheme="minorEastAsia"/>
                <w:sz w:val="22"/>
                <w:szCs w:val="22"/>
              </w:rPr>
            </w:pPr>
            <w:r>
              <w:rPr>
                <w:rFonts w:eastAsiaTheme="minorEastAsia"/>
                <w:sz w:val="22"/>
                <w:szCs w:val="22"/>
              </w:rPr>
              <w:t>T</w:t>
            </w:r>
            <w:r w:rsidRPr="006623EF">
              <w:rPr>
                <w:rFonts w:eastAsiaTheme="minorEastAsia"/>
                <w:sz w:val="22"/>
                <w:szCs w:val="22"/>
              </w:rPr>
              <w:t>he</w:t>
            </w:r>
            <w:r>
              <w:rPr>
                <w:rFonts w:eastAsiaTheme="minorEastAsia"/>
                <w:sz w:val="22"/>
                <w:szCs w:val="22"/>
              </w:rPr>
              <w:t xml:space="preserve"> person</w:t>
            </w:r>
            <w:r w:rsidRPr="00C7674D">
              <w:rPr>
                <w:rFonts w:eastAsiaTheme="minorEastAsia"/>
                <w:sz w:val="22"/>
                <w:szCs w:val="22"/>
              </w:rPr>
              <w:t xml:space="preserve"> </w:t>
            </w:r>
            <w:r>
              <w:rPr>
                <w:rFonts w:eastAsiaTheme="minorEastAsia"/>
                <w:sz w:val="22"/>
                <w:szCs w:val="22"/>
              </w:rPr>
              <w:t>in charge of providing</w:t>
            </w:r>
            <w:r w:rsidRPr="00C7674D">
              <w:rPr>
                <w:rFonts w:eastAsiaTheme="minorEastAsia"/>
                <w:sz w:val="22"/>
                <w:szCs w:val="22"/>
              </w:rPr>
              <w:t xml:space="preserve"> assistance to Mrs. López in all administrative tasks and the preparation of reports. Supports the appropriate management of the program documentation</w:t>
            </w:r>
            <w:r>
              <w:rPr>
                <w:rFonts w:eastAsiaTheme="minorEastAsia"/>
                <w:sz w:val="22"/>
                <w:szCs w:val="22"/>
              </w:rPr>
              <w:t xml:space="preserve"> and communications. </w:t>
            </w:r>
            <w:r w:rsidRPr="006623EF">
              <w:rPr>
                <w:rFonts w:eastAsiaTheme="minorEastAsia"/>
                <w:sz w:val="22"/>
                <w:szCs w:val="22"/>
              </w:rPr>
              <w:t xml:space="preserve"> </w:t>
            </w:r>
          </w:p>
        </w:tc>
      </w:tr>
      <w:tr w:rsidR="00CA2445" w:rsidRPr="006623EF" w14:paraId="34ABA07C" w14:textId="77777777" w:rsidTr="007A318E">
        <w:tc>
          <w:tcPr>
            <w:tcW w:w="1560" w:type="dxa"/>
            <w:vAlign w:val="center"/>
          </w:tcPr>
          <w:p w14:paraId="5585B9EA" w14:textId="4436D0FD" w:rsidR="00CA2445" w:rsidRDefault="00CA2445" w:rsidP="007A318E">
            <w:pPr>
              <w:pStyle w:val="ListParagraph"/>
              <w:ind w:left="0"/>
              <w:jc w:val="center"/>
              <w:rPr>
                <w:rFonts w:eastAsiaTheme="minorEastAsia"/>
                <w:sz w:val="22"/>
                <w:szCs w:val="22"/>
              </w:rPr>
            </w:pPr>
            <w:r>
              <w:rPr>
                <w:rFonts w:eastAsiaTheme="minorEastAsia"/>
                <w:sz w:val="22"/>
                <w:szCs w:val="22"/>
              </w:rPr>
              <w:t xml:space="preserve">Denise </w:t>
            </w:r>
            <w:proofErr w:type="spellStart"/>
            <w:r>
              <w:rPr>
                <w:rFonts w:eastAsiaTheme="minorEastAsia"/>
                <w:sz w:val="22"/>
                <w:szCs w:val="22"/>
              </w:rPr>
              <w:t>Mattei</w:t>
            </w:r>
            <w:proofErr w:type="spellEnd"/>
          </w:p>
        </w:tc>
        <w:tc>
          <w:tcPr>
            <w:tcW w:w="1842" w:type="dxa"/>
            <w:vAlign w:val="center"/>
          </w:tcPr>
          <w:p w14:paraId="063A36A1" w14:textId="5D243854" w:rsidR="00CA2445" w:rsidRPr="006623EF" w:rsidRDefault="00CA2445" w:rsidP="007A318E">
            <w:pPr>
              <w:pStyle w:val="ListParagraph"/>
              <w:ind w:left="0"/>
              <w:jc w:val="center"/>
              <w:rPr>
                <w:rFonts w:eastAsiaTheme="minorEastAsia"/>
                <w:sz w:val="22"/>
                <w:szCs w:val="22"/>
              </w:rPr>
            </w:pPr>
            <w:r>
              <w:rPr>
                <w:rFonts w:eastAsiaTheme="minorEastAsia"/>
                <w:sz w:val="22"/>
                <w:szCs w:val="22"/>
              </w:rPr>
              <w:t>Equitable Services for private schools Coordinator</w:t>
            </w:r>
          </w:p>
        </w:tc>
        <w:tc>
          <w:tcPr>
            <w:tcW w:w="1276" w:type="dxa"/>
            <w:vAlign w:val="center"/>
          </w:tcPr>
          <w:p w14:paraId="024E7231" w14:textId="7A1780F2" w:rsidR="00CA2445" w:rsidRDefault="00CA2445" w:rsidP="007A318E">
            <w:pPr>
              <w:pStyle w:val="ListParagraph"/>
              <w:ind w:left="0"/>
              <w:jc w:val="center"/>
              <w:rPr>
                <w:rFonts w:eastAsiaTheme="minorEastAsia"/>
                <w:sz w:val="22"/>
                <w:szCs w:val="22"/>
              </w:rPr>
            </w:pPr>
            <w:r>
              <w:rPr>
                <w:rFonts w:eastAsiaTheme="minorEastAsia"/>
                <w:sz w:val="22"/>
                <w:szCs w:val="22"/>
              </w:rPr>
              <w:t>9%</w:t>
            </w:r>
          </w:p>
        </w:tc>
        <w:tc>
          <w:tcPr>
            <w:tcW w:w="6117" w:type="dxa"/>
            <w:vAlign w:val="center"/>
          </w:tcPr>
          <w:p w14:paraId="167F8204" w14:textId="5293E279" w:rsidR="00CA2445" w:rsidRDefault="00CA2445" w:rsidP="007A318E">
            <w:pPr>
              <w:pStyle w:val="ListParagraph"/>
              <w:ind w:left="0"/>
              <w:rPr>
                <w:rFonts w:eastAsiaTheme="minorEastAsia"/>
                <w:sz w:val="22"/>
                <w:szCs w:val="22"/>
              </w:rPr>
            </w:pPr>
            <w:r>
              <w:rPr>
                <w:rFonts w:eastAsiaTheme="minorEastAsia"/>
                <w:sz w:val="22"/>
                <w:szCs w:val="22"/>
              </w:rPr>
              <w:t xml:space="preserve">Mrs. </w:t>
            </w:r>
            <w:proofErr w:type="spellStart"/>
            <w:r>
              <w:rPr>
                <w:rFonts w:eastAsiaTheme="minorEastAsia"/>
                <w:sz w:val="22"/>
                <w:szCs w:val="22"/>
              </w:rPr>
              <w:t>Mattei</w:t>
            </w:r>
            <w:proofErr w:type="spellEnd"/>
            <w:r>
              <w:rPr>
                <w:rFonts w:eastAsiaTheme="minorEastAsia"/>
                <w:sz w:val="22"/>
                <w:szCs w:val="22"/>
              </w:rPr>
              <w:t xml:space="preserve"> is in charge of overseeing the implementation of all federal programs from which the private schools determine to participate, after a meaningful consultation process, including Restart. She is responsible for receiving the applications, the evaluation process and technical assistance. </w:t>
            </w:r>
          </w:p>
        </w:tc>
      </w:tr>
    </w:tbl>
    <w:p w14:paraId="0B1FFCEB" w14:textId="4E6FAA40" w:rsidR="00F6707E" w:rsidRDefault="00F6707E" w:rsidP="00342E9E">
      <w:pPr>
        <w:pStyle w:val="Default"/>
        <w:spacing w:after="9"/>
        <w:rPr>
          <w:rFonts w:asciiTheme="majorHAnsi" w:hAnsiTheme="majorHAnsi" w:cstheme="majorHAnsi"/>
          <w:color w:val="FF0000"/>
          <w:sz w:val="22"/>
          <w:szCs w:val="22"/>
        </w:rPr>
      </w:pPr>
    </w:p>
    <w:p w14:paraId="2536F37E" w14:textId="77777777" w:rsidR="00693CF0" w:rsidRPr="005F58CF" w:rsidRDefault="00693CF0" w:rsidP="00693CF0">
      <w:pPr>
        <w:pStyle w:val="Default"/>
        <w:spacing w:after="9"/>
        <w:jc w:val="both"/>
        <w:rPr>
          <w:rFonts w:asciiTheme="majorHAnsi" w:hAnsiTheme="majorHAnsi" w:cstheme="majorHAnsi"/>
          <w:color w:val="FF0000"/>
          <w:sz w:val="20"/>
          <w:szCs w:val="20"/>
        </w:rPr>
      </w:pPr>
      <w:r w:rsidRPr="005F58CF">
        <w:rPr>
          <w:rFonts w:asciiTheme="majorHAnsi" w:hAnsiTheme="majorHAnsi" w:cstheme="majorHAnsi"/>
          <w:b/>
          <w:bCs/>
          <w:color w:val="FF0000"/>
          <w:sz w:val="20"/>
          <w:szCs w:val="20"/>
        </w:rPr>
        <w:t>Note</w:t>
      </w:r>
      <w:r w:rsidRPr="005F58CF">
        <w:rPr>
          <w:rFonts w:asciiTheme="majorHAnsi" w:hAnsiTheme="majorHAnsi" w:cstheme="majorHAnsi"/>
          <w:color w:val="FF0000"/>
          <w:sz w:val="20"/>
          <w:szCs w:val="20"/>
        </w:rPr>
        <w:t xml:space="preserve">: </w:t>
      </w:r>
      <w:r w:rsidRPr="005F58CF">
        <w:rPr>
          <w:rFonts w:asciiTheme="majorHAnsi" w:hAnsiTheme="majorHAnsi" w:cstheme="majorHAnsi"/>
          <w:sz w:val="20"/>
          <w:szCs w:val="20"/>
        </w:rPr>
        <w:t>The changes in administration and other reasons have delayed the program in hiring a new compliance lead, since the former one retired. Since the retirement of the compliance lead, Mr. Delgado has been in charge of compliance and related activities and will continue to be until we have a new appointed person to work with this part of the program.</w:t>
      </w:r>
    </w:p>
    <w:p w14:paraId="2CE340BA" w14:textId="77777777" w:rsidR="00693CF0" w:rsidRDefault="00693CF0" w:rsidP="00342E9E">
      <w:pPr>
        <w:pStyle w:val="Default"/>
        <w:spacing w:after="9"/>
        <w:rPr>
          <w:rFonts w:asciiTheme="majorHAnsi" w:hAnsiTheme="majorHAnsi" w:cstheme="majorHAnsi"/>
          <w:color w:val="FF0000"/>
          <w:sz w:val="22"/>
          <w:szCs w:val="22"/>
        </w:rPr>
      </w:pPr>
    </w:p>
    <w:p w14:paraId="65367B91" w14:textId="77777777" w:rsidR="005B5C47" w:rsidRPr="00342E9E" w:rsidRDefault="009E6983" w:rsidP="009239F6">
      <w:pPr>
        <w:pStyle w:val="Default"/>
        <w:spacing w:after="9"/>
        <w:jc w:val="center"/>
        <w:rPr>
          <w:rFonts w:asciiTheme="majorHAnsi" w:hAnsiTheme="majorHAnsi" w:cstheme="majorHAnsi"/>
          <w:color w:val="auto"/>
          <w:sz w:val="22"/>
          <w:szCs w:val="22"/>
        </w:rPr>
      </w:pPr>
      <w:r w:rsidRPr="00342E9E">
        <w:rPr>
          <w:rFonts w:asciiTheme="majorHAnsi" w:hAnsiTheme="majorHAnsi" w:cstheme="majorHAnsi"/>
          <w:color w:val="auto"/>
          <w:sz w:val="22"/>
          <w:szCs w:val="22"/>
        </w:rPr>
        <w:t>Table 2</w:t>
      </w:r>
    </w:p>
    <w:p w14:paraId="762F4C5A" w14:textId="77777777" w:rsidR="00F54322" w:rsidRPr="00342E9E" w:rsidRDefault="00F54322" w:rsidP="00F54322">
      <w:pPr>
        <w:pStyle w:val="Default"/>
        <w:spacing w:after="9"/>
        <w:jc w:val="both"/>
        <w:rPr>
          <w:rFonts w:asciiTheme="majorHAnsi" w:hAnsiTheme="majorHAnsi" w:cstheme="majorHAnsi"/>
          <w:color w:val="auto"/>
          <w:sz w:val="22"/>
          <w:szCs w:val="22"/>
        </w:rPr>
      </w:pPr>
      <w:r w:rsidRPr="00342E9E">
        <w:rPr>
          <w:rFonts w:asciiTheme="majorHAnsi" w:hAnsiTheme="majorHAnsi" w:cstheme="majorHAnsi"/>
          <w:color w:val="auto"/>
          <w:sz w:val="22"/>
          <w:szCs w:val="22"/>
        </w:rPr>
        <w:t xml:space="preserve">To comply with </w:t>
      </w:r>
      <w:r w:rsidR="00915DD0" w:rsidRPr="00342E9E">
        <w:rPr>
          <w:rFonts w:asciiTheme="majorHAnsi" w:hAnsiTheme="majorHAnsi" w:cstheme="majorHAnsi"/>
          <w:color w:val="auto"/>
          <w:sz w:val="22"/>
          <w:szCs w:val="22"/>
        </w:rPr>
        <w:t xml:space="preserve">these </w:t>
      </w:r>
      <w:r w:rsidR="006B65E0" w:rsidRPr="00342E9E">
        <w:rPr>
          <w:rFonts w:asciiTheme="majorHAnsi" w:hAnsiTheme="majorHAnsi" w:cstheme="majorHAnsi"/>
          <w:color w:val="auto"/>
          <w:sz w:val="22"/>
          <w:szCs w:val="22"/>
        </w:rPr>
        <w:t>criteria</w:t>
      </w:r>
      <w:r w:rsidRPr="00342E9E">
        <w:rPr>
          <w:rFonts w:asciiTheme="majorHAnsi" w:hAnsiTheme="majorHAnsi" w:cstheme="majorHAnsi"/>
          <w:color w:val="auto"/>
          <w:sz w:val="22"/>
          <w:szCs w:val="22"/>
        </w:rPr>
        <w:t xml:space="preserve">, the PRDE </w:t>
      </w:r>
      <w:r w:rsidR="005B5C47" w:rsidRPr="00342E9E">
        <w:rPr>
          <w:rFonts w:asciiTheme="majorHAnsi" w:hAnsiTheme="majorHAnsi" w:cstheme="majorHAnsi"/>
          <w:color w:val="auto"/>
          <w:sz w:val="22"/>
          <w:szCs w:val="22"/>
        </w:rPr>
        <w:t>established</w:t>
      </w:r>
      <w:r w:rsidRPr="00342E9E">
        <w:rPr>
          <w:rFonts w:asciiTheme="majorHAnsi" w:hAnsiTheme="majorHAnsi" w:cstheme="majorHAnsi"/>
          <w:color w:val="auto"/>
          <w:sz w:val="22"/>
          <w:szCs w:val="22"/>
        </w:rPr>
        <w:t xml:space="preserve"> the following</w:t>
      </w:r>
      <w:r w:rsidR="007B5D9F" w:rsidRPr="00342E9E">
        <w:rPr>
          <w:rFonts w:asciiTheme="majorHAnsi" w:hAnsiTheme="majorHAnsi" w:cstheme="majorHAnsi"/>
          <w:color w:val="auto"/>
          <w:sz w:val="22"/>
          <w:szCs w:val="22"/>
        </w:rPr>
        <w:t>:</w:t>
      </w:r>
    </w:p>
    <w:p w14:paraId="0F91215E" w14:textId="77777777" w:rsidR="00F54322" w:rsidRPr="00342E9E" w:rsidRDefault="00F54322" w:rsidP="00F54322">
      <w:pPr>
        <w:pStyle w:val="Default"/>
        <w:spacing w:after="9"/>
        <w:jc w:val="both"/>
        <w:rPr>
          <w:rFonts w:asciiTheme="majorHAnsi" w:hAnsiTheme="majorHAnsi" w:cstheme="majorHAns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918"/>
        <w:gridCol w:w="3357"/>
      </w:tblGrid>
      <w:tr w:rsidR="00342E9E" w:rsidRPr="00342E9E" w14:paraId="438D3D3E" w14:textId="77777777" w:rsidTr="001B50CE">
        <w:tc>
          <w:tcPr>
            <w:tcW w:w="1795" w:type="dxa"/>
            <w:tcBorders>
              <w:top w:val="single" w:sz="4" w:space="0" w:color="auto"/>
              <w:bottom w:val="single" w:sz="4" w:space="0" w:color="auto"/>
            </w:tcBorders>
          </w:tcPr>
          <w:p w14:paraId="4DB9D29D" w14:textId="77777777" w:rsidR="00F54322" w:rsidRPr="00342E9E" w:rsidRDefault="00F54322" w:rsidP="001B50CE">
            <w:pPr>
              <w:pStyle w:val="Default"/>
              <w:spacing w:after="9"/>
              <w:jc w:val="center"/>
              <w:rPr>
                <w:rFonts w:asciiTheme="majorHAnsi" w:hAnsiTheme="majorHAnsi" w:cstheme="majorHAnsi"/>
                <w:color w:val="auto"/>
                <w:sz w:val="20"/>
                <w:szCs w:val="20"/>
              </w:rPr>
            </w:pPr>
            <w:r w:rsidRPr="00342E9E">
              <w:rPr>
                <w:rFonts w:asciiTheme="majorHAnsi" w:hAnsiTheme="majorHAnsi" w:cstheme="majorHAnsi"/>
                <w:color w:val="auto"/>
                <w:sz w:val="20"/>
                <w:szCs w:val="20"/>
              </w:rPr>
              <w:t>Type of control</w:t>
            </w:r>
          </w:p>
        </w:tc>
        <w:tc>
          <w:tcPr>
            <w:tcW w:w="4918" w:type="dxa"/>
            <w:tcBorders>
              <w:top w:val="single" w:sz="4" w:space="0" w:color="auto"/>
              <w:bottom w:val="single" w:sz="4" w:space="0" w:color="auto"/>
            </w:tcBorders>
          </w:tcPr>
          <w:p w14:paraId="6CD1A51A" w14:textId="77777777" w:rsidR="00F54322" w:rsidRPr="00342E9E" w:rsidRDefault="00F54322" w:rsidP="001B50CE">
            <w:pPr>
              <w:pStyle w:val="Default"/>
              <w:spacing w:after="9"/>
              <w:jc w:val="center"/>
              <w:rPr>
                <w:rFonts w:asciiTheme="majorHAnsi" w:hAnsiTheme="majorHAnsi" w:cstheme="majorHAnsi"/>
                <w:color w:val="auto"/>
                <w:sz w:val="20"/>
                <w:szCs w:val="20"/>
              </w:rPr>
            </w:pPr>
            <w:r w:rsidRPr="00342E9E">
              <w:rPr>
                <w:rFonts w:asciiTheme="majorHAnsi" w:hAnsiTheme="majorHAnsi" w:cstheme="majorHAnsi"/>
                <w:color w:val="auto"/>
                <w:sz w:val="20"/>
                <w:szCs w:val="20"/>
              </w:rPr>
              <w:t>Definition</w:t>
            </w:r>
          </w:p>
        </w:tc>
        <w:tc>
          <w:tcPr>
            <w:tcW w:w="3357" w:type="dxa"/>
            <w:tcBorders>
              <w:top w:val="single" w:sz="4" w:space="0" w:color="auto"/>
              <w:bottom w:val="single" w:sz="4" w:space="0" w:color="auto"/>
            </w:tcBorders>
          </w:tcPr>
          <w:p w14:paraId="41B7CF01" w14:textId="77777777" w:rsidR="00F54322" w:rsidRPr="00342E9E" w:rsidRDefault="00F54322" w:rsidP="001B50CE">
            <w:pPr>
              <w:pStyle w:val="Default"/>
              <w:spacing w:after="9"/>
              <w:jc w:val="center"/>
              <w:rPr>
                <w:rFonts w:asciiTheme="majorHAnsi" w:hAnsiTheme="majorHAnsi" w:cstheme="majorHAnsi"/>
                <w:color w:val="auto"/>
                <w:sz w:val="20"/>
                <w:szCs w:val="20"/>
              </w:rPr>
            </w:pPr>
            <w:r w:rsidRPr="00342E9E">
              <w:rPr>
                <w:rFonts w:asciiTheme="majorHAnsi" w:hAnsiTheme="majorHAnsi" w:cstheme="majorHAnsi"/>
                <w:color w:val="auto"/>
                <w:sz w:val="20"/>
                <w:szCs w:val="20"/>
              </w:rPr>
              <w:t>Activity</w:t>
            </w:r>
          </w:p>
        </w:tc>
      </w:tr>
      <w:tr w:rsidR="00342E9E" w:rsidRPr="00342E9E" w14:paraId="66C300FB" w14:textId="77777777" w:rsidTr="001B50CE">
        <w:tc>
          <w:tcPr>
            <w:tcW w:w="1795" w:type="dxa"/>
            <w:tcBorders>
              <w:top w:val="single" w:sz="4" w:space="0" w:color="auto"/>
            </w:tcBorders>
          </w:tcPr>
          <w:p w14:paraId="1C73523C"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Tone at a top</w:t>
            </w:r>
          </w:p>
        </w:tc>
        <w:tc>
          <w:tcPr>
            <w:tcW w:w="4918" w:type="dxa"/>
            <w:tcBorders>
              <w:top w:val="single" w:sz="4" w:space="0" w:color="auto"/>
            </w:tcBorders>
          </w:tcPr>
          <w:p w14:paraId="0F26920E"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Commitment to the organization’s integrity and ethical values</w:t>
            </w:r>
          </w:p>
        </w:tc>
        <w:tc>
          <w:tcPr>
            <w:tcW w:w="3357" w:type="dxa"/>
            <w:tcBorders>
              <w:top w:val="single" w:sz="4" w:space="0" w:color="auto"/>
            </w:tcBorders>
          </w:tcPr>
          <w:p w14:paraId="55BDD6C9"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Directives</w:t>
            </w:r>
            <w:r w:rsidR="005B5C47" w:rsidRPr="00342E9E">
              <w:rPr>
                <w:rFonts w:asciiTheme="majorHAnsi" w:hAnsiTheme="majorHAnsi" w:cstheme="majorHAnsi"/>
                <w:color w:val="auto"/>
                <w:sz w:val="20"/>
                <w:szCs w:val="20"/>
              </w:rPr>
              <w:t xml:space="preserve"> (emails, memos)</w:t>
            </w:r>
            <w:r w:rsidR="00F70CF4" w:rsidRPr="00342E9E">
              <w:rPr>
                <w:rFonts w:asciiTheme="majorHAnsi" w:hAnsiTheme="majorHAnsi" w:cstheme="majorHAnsi"/>
                <w:color w:val="auto"/>
                <w:sz w:val="20"/>
                <w:szCs w:val="20"/>
              </w:rPr>
              <w:t xml:space="preserve">.  </w:t>
            </w:r>
          </w:p>
          <w:p w14:paraId="6EE5C398"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Policies</w:t>
            </w:r>
            <w:r w:rsidR="00F70CF4" w:rsidRPr="00342E9E">
              <w:rPr>
                <w:rFonts w:asciiTheme="majorHAnsi" w:hAnsiTheme="majorHAnsi" w:cstheme="majorHAnsi"/>
                <w:color w:val="auto"/>
                <w:sz w:val="20"/>
                <w:szCs w:val="20"/>
              </w:rPr>
              <w:t>.  (Ethic law compliance)</w:t>
            </w:r>
          </w:p>
          <w:p w14:paraId="7F8D919B"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Lead by example</w:t>
            </w:r>
          </w:p>
          <w:p w14:paraId="7517DD05"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Staff meetings</w:t>
            </w:r>
            <w:r w:rsidR="00F70CF4" w:rsidRPr="00342E9E">
              <w:rPr>
                <w:rFonts w:asciiTheme="majorHAnsi" w:hAnsiTheme="majorHAnsi" w:cstheme="majorHAnsi"/>
                <w:color w:val="auto"/>
                <w:sz w:val="20"/>
                <w:szCs w:val="20"/>
              </w:rPr>
              <w:t xml:space="preserve"> (Evidenced by minutes)</w:t>
            </w:r>
          </w:p>
          <w:p w14:paraId="2F86F072" w14:textId="77777777" w:rsidR="00F54322" w:rsidRPr="00342E9E" w:rsidRDefault="00F54322" w:rsidP="001B50CE">
            <w:pPr>
              <w:pStyle w:val="Default"/>
              <w:spacing w:after="9"/>
              <w:jc w:val="both"/>
              <w:rPr>
                <w:rFonts w:asciiTheme="majorHAnsi" w:hAnsiTheme="majorHAnsi" w:cstheme="majorHAnsi"/>
                <w:color w:val="auto"/>
                <w:sz w:val="20"/>
                <w:szCs w:val="20"/>
              </w:rPr>
            </w:pPr>
          </w:p>
        </w:tc>
      </w:tr>
      <w:tr w:rsidR="00342E9E" w:rsidRPr="00342E9E" w14:paraId="0A4BA732" w14:textId="77777777" w:rsidTr="001B50CE">
        <w:tc>
          <w:tcPr>
            <w:tcW w:w="1795" w:type="dxa"/>
          </w:tcPr>
          <w:p w14:paraId="62098688"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lastRenderedPageBreak/>
              <w:t>Oversight</w:t>
            </w:r>
          </w:p>
        </w:tc>
        <w:tc>
          <w:tcPr>
            <w:tcW w:w="4918" w:type="dxa"/>
          </w:tcPr>
          <w:p w14:paraId="227AF815"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Oversight body who oversees management’s design, implementation, and operation of the organization internal control system</w:t>
            </w:r>
          </w:p>
          <w:p w14:paraId="628C0DF3" w14:textId="77777777" w:rsidR="00F54322" w:rsidRPr="00342E9E" w:rsidRDefault="00F54322" w:rsidP="001B50CE">
            <w:pPr>
              <w:pStyle w:val="Default"/>
              <w:spacing w:after="9"/>
              <w:jc w:val="both"/>
              <w:rPr>
                <w:rFonts w:asciiTheme="majorHAnsi" w:hAnsiTheme="majorHAnsi" w:cstheme="majorHAnsi"/>
                <w:color w:val="auto"/>
                <w:sz w:val="20"/>
                <w:szCs w:val="20"/>
              </w:rPr>
            </w:pPr>
          </w:p>
        </w:tc>
        <w:tc>
          <w:tcPr>
            <w:tcW w:w="3357" w:type="dxa"/>
          </w:tcPr>
          <w:p w14:paraId="320018B1"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Compliance Officer</w:t>
            </w:r>
            <w:r w:rsidR="00F70CF4" w:rsidRPr="00342E9E">
              <w:rPr>
                <w:rFonts w:asciiTheme="majorHAnsi" w:hAnsiTheme="majorHAnsi" w:cstheme="majorHAnsi"/>
                <w:color w:val="auto"/>
                <w:sz w:val="20"/>
                <w:szCs w:val="20"/>
              </w:rPr>
              <w:t xml:space="preserve"> (Evidence by Screening Evaluation for each Initiative</w:t>
            </w:r>
            <w:r w:rsidR="005B5C47" w:rsidRPr="00342E9E">
              <w:rPr>
                <w:rFonts w:asciiTheme="majorHAnsi" w:hAnsiTheme="majorHAnsi" w:cstheme="majorHAnsi"/>
                <w:color w:val="auto"/>
                <w:sz w:val="20"/>
                <w:szCs w:val="20"/>
              </w:rPr>
              <w:t>.  Internal control assessments)</w:t>
            </w:r>
            <w:r w:rsidR="00F70CF4" w:rsidRPr="00342E9E">
              <w:rPr>
                <w:rFonts w:asciiTheme="majorHAnsi" w:hAnsiTheme="majorHAnsi" w:cstheme="majorHAnsi"/>
                <w:color w:val="auto"/>
                <w:sz w:val="20"/>
                <w:szCs w:val="20"/>
              </w:rPr>
              <w:t>)</w:t>
            </w:r>
          </w:p>
          <w:p w14:paraId="48C009FA" w14:textId="77777777" w:rsidR="00F54322" w:rsidRPr="00342E9E" w:rsidRDefault="00F54322" w:rsidP="001B50CE">
            <w:pPr>
              <w:pStyle w:val="Default"/>
              <w:spacing w:after="9"/>
              <w:jc w:val="both"/>
              <w:rPr>
                <w:rFonts w:asciiTheme="majorHAnsi" w:hAnsiTheme="majorHAnsi" w:cstheme="majorHAnsi"/>
                <w:color w:val="auto"/>
                <w:sz w:val="20"/>
                <w:szCs w:val="20"/>
              </w:rPr>
            </w:pPr>
          </w:p>
        </w:tc>
      </w:tr>
      <w:tr w:rsidR="00342E9E" w:rsidRPr="00342E9E" w14:paraId="611F6DAC" w14:textId="77777777" w:rsidTr="001B50CE">
        <w:tc>
          <w:tcPr>
            <w:tcW w:w="1795" w:type="dxa"/>
          </w:tcPr>
          <w:p w14:paraId="1359E7CF"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Commitment</w:t>
            </w:r>
          </w:p>
        </w:tc>
        <w:tc>
          <w:tcPr>
            <w:tcW w:w="4918" w:type="dxa"/>
          </w:tcPr>
          <w:p w14:paraId="7B1E9DFA"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Expectations of competence on recruiting, developing, and retaining personnel</w:t>
            </w:r>
          </w:p>
          <w:p w14:paraId="609F7F59" w14:textId="77777777" w:rsidR="00F54322" w:rsidRPr="00342E9E" w:rsidRDefault="00F54322" w:rsidP="001B50CE">
            <w:pPr>
              <w:pStyle w:val="Default"/>
              <w:spacing w:after="9"/>
              <w:jc w:val="both"/>
              <w:rPr>
                <w:rFonts w:asciiTheme="majorHAnsi" w:hAnsiTheme="majorHAnsi" w:cstheme="majorHAnsi"/>
                <w:color w:val="auto"/>
                <w:sz w:val="20"/>
                <w:szCs w:val="20"/>
              </w:rPr>
            </w:pPr>
          </w:p>
        </w:tc>
        <w:tc>
          <w:tcPr>
            <w:tcW w:w="3357" w:type="dxa"/>
          </w:tcPr>
          <w:p w14:paraId="61E5592A"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Position description</w:t>
            </w:r>
            <w:r w:rsidR="005432FD" w:rsidRPr="00342E9E">
              <w:rPr>
                <w:rFonts w:asciiTheme="majorHAnsi" w:hAnsiTheme="majorHAnsi" w:cstheme="majorHAnsi"/>
                <w:color w:val="auto"/>
                <w:sz w:val="20"/>
                <w:szCs w:val="20"/>
              </w:rPr>
              <w:t xml:space="preserve"> (DE-16 form)</w:t>
            </w:r>
          </w:p>
          <w:p w14:paraId="369A8650"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Required skills and certification</w:t>
            </w:r>
            <w:r w:rsidR="005432FD" w:rsidRPr="00342E9E">
              <w:rPr>
                <w:rFonts w:asciiTheme="majorHAnsi" w:hAnsiTheme="majorHAnsi" w:cstheme="majorHAnsi"/>
                <w:color w:val="auto"/>
                <w:sz w:val="20"/>
                <w:szCs w:val="20"/>
              </w:rPr>
              <w:t xml:space="preserve"> (Job description)</w:t>
            </w:r>
          </w:p>
        </w:tc>
      </w:tr>
      <w:tr w:rsidR="00342E9E" w:rsidRPr="00342E9E" w14:paraId="1FA6979A" w14:textId="77777777" w:rsidTr="001B50CE">
        <w:tc>
          <w:tcPr>
            <w:tcW w:w="1795" w:type="dxa"/>
            <w:tcBorders>
              <w:bottom w:val="single" w:sz="4" w:space="0" w:color="auto"/>
            </w:tcBorders>
          </w:tcPr>
          <w:p w14:paraId="0DBF4BAF"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Accountability</w:t>
            </w:r>
          </w:p>
        </w:tc>
        <w:tc>
          <w:tcPr>
            <w:tcW w:w="4918" w:type="dxa"/>
            <w:tcBorders>
              <w:bottom w:val="single" w:sz="4" w:space="0" w:color="auto"/>
            </w:tcBorders>
          </w:tcPr>
          <w:p w14:paraId="7EC73723"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Staff responsibilities</w:t>
            </w:r>
          </w:p>
        </w:tc>
        <w:tc>
          <w:tcPr>
            <w:tcW w:w="3357" w:type="dxa"/>
            <w:tcBorders>
              <w:bottom w:val="single" w:sz="4" w:space="0" w:color="auto"/>
            </w:tcBorders>
          </w:tcPr>
          <w:p w14:paraId="3B9B2D41"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Day to day decision making</w:t>
            </w:r>
            <w:r w:rsidR="005432FD" w:rsidRPr="00342E9E">
              <w:rPr>
                <w:rFonts w:asciiTheme="majorHAnsi" w:hAnsiTheme="majorHAnsi" w:cstheme="majorHAnsi"/>
                <w:color w:val="auto"/>
                <w:sz w:val="20"/>
                <w:szCs w:val="20"/>
              </w:rPr>
              <w:t xml:space="preserve"> (Workplans)</w:t>
            </w:r>
          </w:p>
          <w:p w14:paraId="4B23F40C"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Roles and responsibilities</w:t>
            </w:r>
            <w:r w:rsidR="005432FD" w:rsidRPr="00342E9E">
              <w:rPr>
                <w:rFonts w:asciiTheme="majorHAnsi" w:hAnsiTheme="majorHAnsi" w:cstheme="majorHAnsi"/>
                <w:color w:val="auto"/>
                <w:sz w:val="20"/>
                <w:szCs w:val="20"/>
              </w:rPr>
              <w:t xml:space="preserve"> (DE-16)</w:t>
            </w:r>
          </w:p>
          <w:p w14:paraId="3D565D9B" w14:textId="77777777" w:rsidR="00F54322" w:rsidRPr="00342E9E" w:rsidRDefault="00F54322" w:rsidP="001B50CE">
            <w:pPr>
              <w:pStyle w:val="Default"/>
              <w:spacing w:after="9"/>
              <w:jc w:val="both"/>
              <w:rPr>
                <w:rFonts w:asciiTheme="majorHAnsi" w:hAnsiTheme="majorHAnsi" w:cstheme="majorHAnsi"/>
                <w:color w:val="auto"/>
                <w:sz w:val="20"/>
                <w:szCs w:val="20"/>
              </w:rPr>
            </w:pPr>
            <w:r w:rsidRPr="00342E9E">
              <w:rPr>
                <w:rFonts w:asciiTheme="majorHAnsi" w:hAnsiTheme="majorHAnsi" w:cstheme="majorHAnsi"/>
                <w:color w:val="auto"/>
                <w:sz w:val="20"/>
                <w:szCs w:val="20"/>
              </w:rPr>
              <w:t>Lines of authority</w:t>
            </w:r>
            <w:r w:rsidR="005432FD" w:rsidRPr="00342E9E">
              <w:rPr>
                <w:rFonts w:asciiTheme="majorHAnsi" w:hAnsiTheme="majorHAnsi" w:cstheme="majorHAnsi"/>
                <w:color w:val="auto"/>
                <w:sz w:val="20"/>
                <w:szCs w:val="20"/>
              </w:rPr>
              <w:t xml:space="preserve"> (Organigram)</w:t>
            </w:r>
          </w:p>
          <w:p w14:paraId="3551D6B4" w14:textId="77777777" w:rsidR="00F54322" w:rsidRPr="00342E9E" w:rsidRDefault="00F54322" w:rsidP="001B50CE">
            <w:pPr>
              <w:pStyle w:val="Default"/>
              <w:spacing w:after="9"/>
              <w:jc w:val="both"/>
              <w:rPr>
                <w:rFonts w:asciiTheme="majorHAnsi" w:hAnsiTheme="majorHAnsi" w:cstheme="majorHAnsi"/>
                <w:color w:val="auto"/>
                <w:sz w:val="20"/>
                <w:szCs w:val="20"/>
              </w:rPr>
            </w:pPr>
          </w:p>
        </w:tc>
      </w:tr>
      <w:tr w:rsidR="00F54322" w14:paraId="7C071F3A" w14:textId="77777777" w:rsidTr="001B50CE">
        <w:tc>
          <w:tcPr>
            <w:tcW w:w="1795" w:type="dxa"/>
            <w:tcBorders>
              <w:top w:val="single" w:sz="4" w:space="0" w:color="auto"/>
            </w:tcBorders>
          </w:tcPr>
          <w:p w14:paraId="5512AB1D" w14:textId="77777777" w:rsidR="00F54322" w:rsidRDefault="00F54322" w:rsidP="001B50CE">
            <w:pPr>
              <w:pStyle w:val="Default"/>
              <w:spacing w:after="9"/>
              <w:jc w:val="both"/>
              <w:rPr>
                <w:rFonts w:asciiTheme="majorHAnsi" w:hAnsiTheme="majorHAnsi" w:cstheme="majorHAnsi"/>
                <w:color w:val="FF0000"/>
                <w:sz w:val="22"/>
                <w:szCs w:val="22"/>
              </w:rPr>
            </w:pPr>
          </w:p>
        </w:tc>
        <w:tc>
          <w:tcPr>
            <w:tcW w:w="4918" w:type="dxa"/>
            <w:tcBorders>
              <w:top w:val="single" w:sz="4" w:space="0" w:color="auto"/>
            </w:tcBorders>
          </w:tcPr>
          <w:p w14:paraId="483B4BE7" w14:textId="77777777" w:rsidR="00F54322" w:rsidRDefault="00F54322" w:rsidP="001B50CE">
            <w:pPr>
              <w:pStyle w:val="Default"/>
              <w:spacing w:after="9"/>
              <w:jc w:val="both"/>
              <w:rPr>
                <w:rFonts w:asciiTheme="majorHAnsi" w:hAnsiTheme="majorHAnsi" w:cstheme="majorHAnsi"/>
                <w:color w:val="FF0000"/>
                <w:sz w:val="22"/>
                <w:szCs w:val="22"/>
              </w:rPr>
            </w:pPr>
          </w:p>
        </w:tc>
        <w:tc>
          <w:tcPr>
            <w:tcW w:w="3357" w:type="dxa"/>
            <w:tcBorders>
              <w:top w:val="single" w:sz="4" w:space="0" w:color="auto"/>
            </w:tcBorders>
          </w:tcPr>
          <w:p w14:paraId="25DBCAFD" w14:textId="77777777" w:rsidR="00F54322" w:rsidRDefault="00F54322" w:rsidP="001B50CE">
            <w:pPr>
              <w:pStyle w:val="Default"/>
              <w:spacing w:after="9"/>
              <w:jc w:val="both"/>
              <w:rPr>
                <w:rFonts w:asciiTheme="majorHAnsi" w:hAnsiTheme="majorHAnsi" w:cstheme="majorHAnsi"/>
                <w:color w:val="FF0000"/>
                <w:sz w:val="22"/>
                <w:szCs w:val="22"/>
              </w:rPr>
            </w:pPr>
          </w:p>
        </w:tc>
      </w:tr>
    </w:tbl>
    <w:p w14:paraId="3845F3AD" w14:textId="0603C70D" w:rsidR="00F54322" w:rsidRPr="007B5D9F" w:rsidRDefault="00F54322" w:rsidP="00C539FD">
      <w:pPr>
        <w:pStyle w:val="Heading2"/>
      </w:pPr>
      <w:r w:rsidRPr="007B5D9F">
        <w:t>R</w:t>
      </w:r>
      <w:r w:rsidR="00972733" w:rsidRPr="007B5D9F">
        <w:t>isk</w:t>
      </w:r>
      <w:r w:rsidRPr="007B5D9F">
        <w:t xml:space="preserve"> A</w:t>
      </w:r>
      <w:r w:rsidR="00972733" w:rsidRPr="007B5D9F">
        <w:t>ssessment</w:t>
      </w:r>
    </w:p>
    <w:p w14:paraId="6EA1F435" w14:textId="32D80E13" w:rsidR="00D35AEE" w:rsidRDefault="00F54322" w:rsidP="005B5C47">
      <w:pPr>
        <w:pStyle w:val="Default"/>
        <w:spacing w:after="9"/>
        <w:jc w:val="both"/>
        <w:rPr>
          <w:rFonts w:asciiTheme="majorHAnsi" w:hAnsiTheme="majorHAnsi" w:cstheme="majorHAnsi"/>
          <w:color w:val="auto"/>
        </w:rPr>
      </w:pPr>
      <w:r w:rsidRPr="00342E9E">
        <w:rPr>
          <w:rFonts w:asciiTheme="majorHAnsi" w:hAnsiTheme="majorHAnsi" w:cstheme="majorHAnsi"/>
          <w:color w:val="auto"/>
        </w:rPr>
        <w:t xml:space="preserve">This component </w:t>
      </w:r>
      <w:r w:rsidR="003E5AE3" w:rsidRPr="00342E9E">
        <w:rPr>
          <w:rFonts w:asciiTheme="majorHAnsi" w:hAnsiTheme="majorHAnsi" w:cstheme="majorHAnsi"/>
          <w:color w:val="auto"/>
        </w:rPr>
        <w:t>entails</w:t>
      </w:r>
      <w:r w:rsidRPr="00342E9E">
        <w:rPr>
          <w:rFonts w:asciiTheme="majorHAnsi" w:hAnsiTheme="majorHAnsi" w:cstheme="majorHAnsi"/>
          <w:color w:val="auto"/>
        </w:rPr>
        <w:t xml:space="preserve"> assessing the risks involved in our organization as they relate to the operation of federal grant programs, financial reporting, and federal program compliance.  </w:t>
      </w:r>
    </w:p>
    <w:p w14:paraId="56229694" w14:textId="77777777" w:rsidR="007A318E" w:rsidRDefault="007A318E" w:rsidP="005B5C47">
      <w:pPr>
        <w:pStyle w:val="Default"/>
        <w:spacing w:after="9"/>
        <w:jc w:val="both"/>
        <w:rPr>
          <w:rFonts w:asciiTheme="majorHAnsi" w:hAnsiTheme="majorHAnsi" w:cstheme="majorHAnsi"/>
          <w:color w:val="auto"/>
        </w:rPr>
      </w:pPr>
    </w:p>
    <w:p w14:paraId="07F79964" w14:textId="13B62699" w:rsidR="007A318E" w:rsidRPr="007A318E" w:rsidRDefault="007A318E" w:rsidP="007A318E">
      <w:pPr>
        <w:pStyle w:val="Default"/>
        <w:spacing w:after="9"/>
        <w:jc w:val="both"/>
        <w:rPr>
          <w:rFonts w:asciiTheme="majorHAnsi" w:hAnsiTheme="majorHAnsi" w:cstheme="majorHAnsi"/>
          <w:color w:val="auto"/>
        </w:rPr>
      </w:pPr>
      <w:r w:rsidRPr="007A318E">
        <w:rPr>
          <w:rFonts w:asciiTheme="majorHAnsi" w:hAnsiTheme="majorHAnsi" w:cstheme="majorHAnsi"/>
          <w:color w:val="auto"/>
        </w:rPr>
        <w:t>Initiatives and schools</w:t>
      </w:r>
      <w:r>
        <w:rPr>
          <w:rFonts w:asciiTheme="majorHAnsi" w:hAnsiTheme="majorHAnsi" w:cstheme="majorHAnsi"/>
          <w:color w:val="auto"/>
        </w:rPr>
        <w:t xml:space="preserve"> </w:t>
      </w:r>
      <w:r w:rsidRPr="007A318E">
        <w:rPr>
          <w:rFonts w:asciiTheme="majorHAnsi" w:hAnsiTheme="majorHAnsi" w:cstheme="majorHAnsi"/>
          <w:color w:val="auto"/>
        </w:rPr>
        <w:t xml:space="preserve">receiving significant amounts of funds </w:t>
      </w:r>
      <w:r w:rsidR="00AE1922">
        <w:rPr>
          <w:rFonts w:asciiTheme="majorHAnsi" w:hAnsiTheme="majorHAnsi" w:cstheme="majorHAnsi"/>
          <w:color w:val="auto"/>
        </w:rPr>
        <w:t>should be</w:t>
      </w:r>
      <w:r w:rsidRPr="007A318E">
        <w:rPr>
          <w:rFonts w:asciiTheme="majorHAnsi" w:hAnsiTheme="majorHAnsi" w:cstheme="majorHAnsi"/>
          <w:color w:val="auto"/>
        </w:rPr>
        <w:t xml:space="preserve"> preliminarily assessed to determine the level of monitoring that should be performed in order to observe if there is accounting for and expending of USDE grant funds </w:t>
      </w:r>
      <w:r w:rsidR="004F7E6D">
        <w:rPr>
          <w:rFonts w:asciiTheme="majorHAnsi" w:hAnsiTheme="majorHAnsi" w:cstheme="majorHAnsi"/>
          <w:color w:val="auto"/>
        </w:rPr>
        <w:t>in accordance</w:t>
      </w:r>
      <w:r w:rsidRPr="007A318E">
        <w:rPr>
          <w:rFonts w:asciiTheme="majorHAnsi" w:hAnsiTheme="majorHAnsi" w:cstheme="majorHAnsi"/>
          <w:color w:val="auto"/>
        </w:rPr>
        <w:t xml:space="preserve"> </w:t>
      </w:r>
      <w:r w:rsidR="00AE1922" w:rsidRPr="007A318E">
        <w:rPr>
          <w:rFonts w:asciiTheme="majorHAnsi" w:hAnsiTheme="majorHAnsi" w:cstheme="majorHAnsi"/>
          <w:color w:val="auto"/>
        </w:rPr>
        <w:t>with</w:t>
      </w:r>
      <w:r w:rsidRPr="007A318E">
        <w:rPr>
          <w:rFonts w:asciiTheme="majorHAnsi" w:hAnsiTheme="majorHAnsi" w:cstheme="majorHAnsi"/>
          <w:color w:val="auto"/>
        </w:rPr>
        <w:t xml:space="preserve"> applicable federal laws, regulations and guidelines.  </w:t>
      </w:r>
    </w:p>
    <w:p w14:paraId="40C43AD7" w14:textId="77777777" w:rsidR="007A318E" w:rsidRPr="007A318E" w:rsidRDefault="007A318E" w:rsidP="007A318E">
      <w:pPr>
        <w:pStyle w:val="Default"/>
        <w:spacing w:after="9"/>
        <w:jc w:val="both"/>
        <w:rPr>
          <w:rFonts w:asciiTheme="majorHAnsi" w:hAnsiTheme="majorHAnsi" w:cstheme="majorHAnsi"/>
          <w:color w:val="auto"/>
        </w:rPr>
      </w:pPr>
    </w:p>
    <w:p w14:paraId="51592755" w14:textId="114A8E99" w:rsidR="00AE1922" w:rsidRPr="007A318E" w:rsidRDefault="007A318E" w:rsidP="007A318E">
      <w:pPr>
        <w:pStyle w:val="Default"/>
        <w:spacing w:after="9"/>
        <w:jc w:val="both"/>
        <w:rPr>
          <w:rFonts w:asciiTheme="majorHAnsi" w:hAnsiTheme="majorHAnsi" w:cstheme="majorHAnsi"/>
          <w:color w:val="auto"/>
        </w:rPr>
      </w:pPr>
      <w:r w:rsidRPr="007A318E">
        <w:rPr>
          <w:rFonts w:asciiTheme="majorHAnsi" w:hAnsiTheme="majorHAnsi" w:cstheme="majorHAnsi"/>
          <w:color w:val="auto"/>
        </w:rPr>
        <w:t xml:space="preserve">Prior to initiative implementation and fiscal activity, </w:t>
      </w:r>
      <w:r w:rsidR="004F7E6D">
        <w:rPr>
          <w:rFonts w:asciiTheme="majorHAnsi" w:hAnsiTheme="majorHAnsi" w:cstheme="majorHAnsi"/>
          <w:color w:val="auto"/>
        </w:rPr>
        <w:t>initiatives and/or schools</w:t>
      </w:r>
      <w:r w:rsidRPr="007A318E">
        <w:rPr>
          <w:rFonts w:asciiTheme="majorHAnsi" w:hAnsiTheme="majorHAnsi" w:cstheme="majorHAnsi"/>
          <w:color w:val="auto"/>
        </w:rPr>
        <w:t xml:space="preserve"> must obtain PRDE approval to proceed.</w:t>
      </w:r>
      <w:r w:rsidR="00F15BF4">
        <w:rPr>
          <w:rFonts w:asciiTheme="majorHAnsi" w:hAnsiTheme="majorHAnsi" w:cstheme="majorHAnsi"/>
          <w:color w:val="auto"/>
        </w:rPr>
        <w:t xml:space="preserve"> In the case of the initiatives, PRDE submitted a state spending plan for USDE review and record of the initiatives </w:t>
      </w:r>
      <w:r w:rsidR="00A954F0">
        <w:rPr>
          <w:rFonts w:asciiTheme="majorHAnsi" w:hAnsiTheme="majorHAnsi" w:cstheme="majorHAnsi"/>
          <w:color w:val="auto"/>
        </w:rPr>
        <w:t xml:space="preserve">that PRDE planned to </w:t>
      </w:r>
      <w:r w:rsidR="00F15BF4">
        <w:rPr>
          <w:rFonts w:asciiTheme="majorHAnsi" w:hAnsiTheme="majorHAnsi" w:cstheme="majorHAnsi"/>
          <w:color w:val="auto"/>
        </w:rPr>
        <w:t>implement.</w:t>
      </w:r>
      <w:r w:rsidRPr="007A318E">
        <w:rPr>
          <w:rFonts w:asciiTheme="majorHAnsi" w:hAnsiTheme="majorHAnsi" w:cstheme="majorHAnsi"/>
          <w:color w:val="auto"/>
        </w:rPr>
        <w:t xml:space="preserve"> PRDE with support from their contractors, will act as monitors. Monitors will reference the USDE-approved Restart Funding Plan </w:t>
      </w:r>
      <w:r w:rsidR="004F7E6D">
        <w:rPr>
          <w:rFonts w:asciiTheme="majorHAnsi" w:hAnsiTheme="majorHAnsi" w:cstheme="majorHAnsi"/>
          <w:color w:val="auto"/>
        </w:rPr>
        <w:t>which</w:t>
      </w:r>
      <w:r w:rsidRPr="007A318E">
        <w:rPr>
          <w:rFonts w:asciiTheme="majorHAnsi" w:hAnsiTheme="majorHAnsi" w:cstheme="majorHAnsi"/>
          <w:color w:val="auto"/>
        </w:rPr>
        <w:t xml:space="preserve"> guides initiative implementation. Similarly, monitors will reference the PRDE-approved justification memorandum(s) in addition to </w:t>
      </w:r>
      <w:r w:rsidR="004F7E6D">
        <w:rPr>
          <w:rFonts w:asciiTheme="majorHAnsi" w:hAnsiTheme="majorHAnsi" w:cstheme="majorHAnsi"/>
          <w:color w:val="auto"/>
        </w:rPr>
        <w:t xml:space="preserve">workplans and </w:t>
      </w:r>
      <w:r w:rsidR="001C15F3">
        <w:rPr>
          <w:rFonts w:asciiTheme="majorHAnsi" w:hAnsiTheme="majorHAnsi" w:cstheme="majorHAnsi"/>
          <w:color w:val="auto"/>
        </w:rPr>
        <w:t>relevant source documentation.</w:t>
      </w:r>
      <w:r w:rsidR="00AE1922">
        <w:rPr>
          <w:rFonts w:asciiTheme="majorHAnsi" w:hAnsiTheme="majorHAnsi" w:cstheme="majorHAnsi"/>
          <w:color w:val="auto"/>
        </w:rPr>
        <w:t xml:space="preserve"> Additionally, the program has a Fiscal Guide that provides the step by step for the different applicable procurement processes, based on type of services/purchases needed and the estimated thresholds. </w:t>
      </w:r>
    </w:p>
    <w:p w14:paraId="27D7A529" w14:textId="77777777" w:rsidR="007A318E" w:rsidRPr="007A318E" w:rsidRDefault="007A318E" w:rsidP="007A318E">
      <w:pPr>
        <w:pStyle w:val="Default"/>
        <w:spacing w:after="9"/>
        <w:jc w:val="both"/>
        <w:rPr>
          <w:rFonts w:asciiTheme="majorHAnsi" w:hAnsiTheme="majorHAnsi" w:cstheme="majorHAnsi"/>
          <w:color w:val="auto"/>
        </w:rPr>
      </w:pPr>
    </w:p>
    <w:p w14:paraId="16E7D8A9" w14:textId="25A0BD0E" w:rsidR="007A318E" w:rsidRPr="007A318E" w:rsidRDefault="00A0252C" w:rsidP="007A318E">
      <w:pPr>
        <w:pStyle w:val="Default"/>
        <w:spacing w:after="9"/>
        <w:jc w:val="both"/>
        <w:rPr>
          <w:rFonts w:asciiTheme="majorHAnsi" w:hAnsiTheme="majorHAnsi" w:cstheme="majorHAnsi"/>
          <w:color w:val="auto"/>
        </w:rPr>
      </w:pPr>
      <w:r>
        <w:rPr>
          <w:rFonts w:asciiTheme="majorHAnsi" w:hAnsiTheme="majorHAnsi" w:cstheme="majorHAnsi"/>
          <w:color w:val="auto"/>
        </w:rPr>
        <w:t>R</w:t>
      </w:r>
      <w:r w:rsidR="001C15F3">
        <w:rPr>
          <w:rFonts w:asciiTheme="majorHAnsi" w:hAnsiTheme="majorHAnsi" w:cstheme="majorHAnsi"/>
          <w:color w:val="auto"/>
        </w:rPr>
        <w:t xml:space="preserve">eference documentation </w:t>
      </w:r>
      <w:r w:rsidR="007A318E" w:rsidRPr="007A318E">
        <w:rPr>
          <w:rFonts w:asciiTheme="majorHAnsi" w:hAnsiTheme="majorHAnsi" w:cstheme="majorHAnsi"/>
          <w:color w:val="auto"/>
        </w:rPr>
        <w:t xml:space="preserve">must align with the USDE-approved Restart Funding </w:t>
      </w:r>
      <w:r w:rsidR="001C15F3" w:rsidRPr="007A318E">
        <w:rPr>
          <w:rFonts w:asciiTheme="majorHAnsi" w:hAnsiTheme="majorHAnsi" w:cstheme="majorHAnsi"/>
          <w:color w:val="auto"/>
        </w:rPr>
        <w:t>Plan and</w:t>
      </w:r>
      <w:r w:rsidR="007A318E" w:rsidRPr="007A318E">
        <w:rPr>
          <w:rFonts w:asciiTheme="majorHAnsi" w:hAnsiTheme="majorHAnsi" w:cstheme="majorHAnsi"/>
          <w:color w:val="auto"/>
        </w:rPr>
        <w:t xml:space="preserve"> must be submitted to the PRDE Office of Federal Affairs (OFA) for approval prior to project implementation. </w:t>
      </w:r>
    </w:p>
    <w:p w14:paraId="6A7A2D28" w14:textId="77777777" w:rsidR="001C15F3" w:rsidRPr="00342E9E" w:rsidRDefault="001C15F3" w:rsidP="007A318E">
      <w:pPr>
        <w:pStyle w:val="Default"/>
        <w:spacing w:after="9"/>
        <w:jc w:val="both"/>
        <w:rPr>
          <w:rFonts w:asciiTheme="majorHAnsi" w:hAnsiTheme="majorHAnsi" w:cstheme="majorHAnsi"/>
          <w:color w:val="auto"/>
        </w:rPr>
      </w:pPr>
      <w:r w:rsidRPr="00342E9E">
        <w:rPr>
          <w:rFonts w:asciiTheme="majorHAnsi" w:hAnsiTheme="majorHAnsi" w:cstheme="majorHAnsi"/>
          <w:color w:val="auto"/>
        </w:rPr>
        <w:t>Risk comes in all forms, but here are some general categories of risk of which we are aware.</w:t>
      </w:r>
    </w:p>
    <w:p w14:paraId="6C234BD1" w14:textId="77777777" w:rsidR="00626C1E" w:rsidRPr="00342E9E" w:rsidRDefault="00626C1E" w:rsidP="00626C1E">
      <w:pPr>
        <w:pStyle w:val="Default"/>
        <w:spacing w:after="9"/>
        <w:ind w:firstLine="720"/>
        <w:jc w:val="both"/>
        <w:rPr>
          <w:rFonts w:asciiTheme="majorHAnsi" w:hAnsiTheme="majorHAnsi" w:cstheme="majorHAnsi"/>
          <w:color w:val="auto"/>
        </w:rPr>
      </w:pPr>
    </w:p>
    <w:p w14:paraId="21208D89" w14:textId="77777777" w:rsidR="00D35AEE" w:rsidRPr="00342E9E" w:rsidRDefault="00F54322" w:rsidP="00342E9E">
      <w:pPr>
        <w:pStyle w:val="Default"/>
        <w:numPr>
          <w:ilvl w:val="0"/>
          <w:numId w:val="6"/>
        </w:numPr>
        <w:spacing w:after="9"/>
        <w:ind w:left="360"/>
        <w:jc w:val="both"/>
        <w:rPr>
          <w:rFonts w:asciiTheme="majorHAnsi" w:hAnsiTheme="majorHAnsi" w:cstheme="majorHAnsi"/>
          <w:color w:val="auto"/>
        </w:rPr>
      </w:pPr>
      <w:r w:rsidRPr="00342E9E">
        <w:rPr>
          <w:rFonts w:asciiTheme="majorHAnsi" w:hAnsiTheme="majorHAnsi" w:cstheme="majorHAnsi"/>
          <w:b/>
          <w:bCs/>
          <w:color w:val="auto"/>
        </w:rPr>
        <w:t>Programmatic risks</w:t>
      </w:r>
      <w:r w:rsidRPr="00342E9E">
        <w:rPr>
          <w:rFonts w:asciiTheme="majorHAnsi" w:hAnsiTheme="majorHAnsi" w:cstheme="majorHAnsi"/>
          <w:color w:val="auto"/>
        </w:rPr>
        <w:t xml:space="preserve"> include the failure </w:t>
      </w:r>
      <w:r w:rsidR="00626C1E" w:rsidRPr="00342E9E">
        <w:rPr>
          <w:rFonts w:asciiTheme="majorHAnsi" w:hAnsiTheme="majorHAnsi" w:cstheme="majorHAnsi"/>
          <w:color w:val="auto"/>
        </w:rPr>
        <w:t>to</w:t>
      </w:r>
      <w:r w:rsidRPr="00342E9E">
        <w:rPr>
          <w:rFonts w:asciiTheme="majorHAnsi" w:hAnsiTheme="majorHAnsi" w:cstheme="majorHAnsi"/>
          <w:color w:val="auto"/>
        </w:rPr>
        <w:t xml:space="preserve"> achieve the intended program goals; follow laws or regulations or organizational policies and procedures; adequately monitor the organization's programs; provide reliable information for decision making; prevent violations of safety regulations; and prevent the mishandling of sensitive or classified information. </w:t>
      </w:r>
    </w:p>
    <w:p w14:paraId="78E276F1" w14:textId="77777777" w:rsidR="00D35AEE" w:rsidRPr="00342E9E" w:rsidRDefault="00F54322" w:rsidP="00342E9E">
      <w:pPr>
        <w:pStyle w:val="Default"/>
        <w:numPr>
          <w:ilvl w:val="0"/>
          <w:numId w:val="6"/>
        </w:numPr>
        <w:spacing w:after="9"/>
        <w:ind w:left="360"/>
        <w:jc w:val="both"/>
        <w:rPr>
          <w:rFonts w:asciiTheme="majorHAnsi" w:hAnsiTheme="majorHAnsi" w:cstheme="majorHAnsi"/>
          <w:color w:val="auto"/>
        </w:rPr>
      </w:pPr>
      <w:r w:rsidRPr="00342E9E">
        <w:rPr>
          <w:rFonts w:asciiTheme="majorHAnsi" w:hAnsiTheme="majorHAnsi" w:cstheme="majorHAnsi"/>
          <w:b/>
          <w:bCs/>
          <w:color w:val="auto"/>
        </w:rPr>
        <w:t>Personnel risks</w:t>
      </w:r>
      <w:r w:rsidRPr="00342E9E">
        <w:rPr>
          <w:rFonts w:asciiTheme="majorHAnsi" w:hAnsiTheme="majorHAnsi" w:cstheme="majorHAnsi"/>
          <w:color w:val="auto"/>
        </w:rPr>
        <w:t xml:space="preserve"> include the failure </w:t>
      </w:r>
      <w:r w:rsidR="00626C1E" w:rsidRPr="00342E9E">
        <w:rPr>
          <w:rFonts w:asciiTheme="majorHAnsi" w:hAnsiTheme="majorHAnsi" w:cstheme="majorHAnsi"/>
          <w:color w:val="auto"/>
        </w:rPr>
        <w:t>to</w:t>
      </w:r>
      <w:r w:rsidRPr="00342E9E">
        <w:rPr>
          <w:rFonts w:asciiTheme="majorHAnsi" w:hAnsiTheme="majorHAnsi" w:cstheme="majorHAnsi"/>
          <w:color w:val="auto"/>
        </w:rPr>
        <w:t xml:space="preserve"> staff positions with employees with the appropriate experience; effectively recruit employees; and meet the training demands required. </w:t>
      </w:r>
    </w:p>
    <w:p w14:paraId="22F9E1E8" w14:textId="77777777" w:rsidR="00F54322" w:rsidRPr="00342E9E" w:rsidRDefault="00F54322" w:rsidP="00342E9E">
      <w:pPr>
        <w:pStyle w:val="Default"/>
        <w:numPr>
          <w:ilvl w:val="0"/>
          <w:numId w:val="6"/>
        </w:numPr>
        <w:spacing w:after="9"/>
        <w:ind w:left="360"/>
        <w:jc w:val="both"/>
        <w:rPr>
          <w:rFonts w:asciiTheme="majorHAnsi" w:hAnsiTheme="majorHAnsi" w:cstheme="majorHAnsi"/>
          <w:color w:val="auto"/>
        </w:rPr>
      </w:pPr>
      <w:r w:rsidRPr="00342E9E">
        <w:rPr>
          <w:rFonts w:asciiTheme="majorHAnsi" w:hAnsiTheme="majorHAnsi" w:cstheme="majorHAnsi"/>
          <w:b/>
          <w:bCs/>
          <w:color w:val="auto"/>
        </w:rPr>
        <w:t>Financial risks</w:t>
      </w:r>
      <w:r w:rsidRPr="00342E9E">
        <w:rPr>
          <w:rFonts w:asciiTheme="majorHAnsi" w:hAnsiTheme="majorHAnsi" w:cstheme="majorHAnsi"/>
          <w:color w:val="auto"/>
        </w:rPr>
        <w:t xml:space="preserve"> include the failure to prevent price fixing, fraud, bribes, and other forms of corruption, such as kickbacks from consultants, contractors, and employees. PRDE will avoid improper payments, such as overpayment, duplicate payments, payments for services not received, and payments to ineligible recipients. Financial risk awareness also includes prevention or minimization of waste, as well as effective project and resource management.</w:t>
      </w:r>
    </w:p>
    <w:p w14:paraId="675C398D" w14:textId="77777777" w:rsidR="00F54322" w:rsidRPr="00342E9E" w:rsidRDefault="00F54322" w:rsidP="00F54322">
      <w:pPr>
        <w:pStyle w:val="Default"/>
        <w:spacing w:after="9"/>
        <w:jc w:val="both"/>
        <w:rPr>
          <w:rFonts w:asciiTheme="majorHAnsi" w:hAnsiTheme="majorHAnsi" w:cstheme="majorHAnsi"/>
          <w:color w:val="auto"/>
        </w:rPr>
      </w:pPr>
    </w:p>
    <w:p w14:paraId="5818BFDF" w14:textId="4DF369E3" w:rsidR="001814BD" w:rsidRDefault="00F54322" w:rsidP="00F54322">
      <w:pPr>
        <w:pStyle w:val="Default"/>
        <w:spacing w:after="9"/>
        <w:jc w:val="both"/>
        <w:rPr>
          <w:rFonts w:asciiTheme="majorHAnsi" w:hAnsiTheme="majorHAnsi" w:cstheme="majorHAnsi"/>
          <w:color w:val="auto"/>
        </w:rPr>
      </w:pPr>
      <w:r w:rsidRPr="00342E9E">
        <w:rPr>
          <w:rFonts w:asciiTheme="majorHAnsi" w:hAnsiTheme="majorHAnsi" w:cstheme="majorHAnsi"/>
          <w:color w:val="auto"/>
        </w:rPr>
        <w:t xml:space="preserve">These activities develop the appropriate responses to risks identified. It is critical to develop risk assessment policies and practices </w:t>
      </w:r>
      <w:r w:rsidR="001814BD">
        <w:rPr>
          <w:rFonts w:asciiTheme="majorHAnsi" w:hAnsiTheme="majorHAnsi" w:cstheme="majorHAnsi"/>
          <w:color w:val="auto"/>
        </w:rPr>
        <w:t>in an effort to prevent</w:t>
      </w:r>
      <w:r w:rsidR="001814BD" w:rsidRPr="00342E9E">
        <w:rPr>
          <w:rFonts w:asciiTheme="majorHAnsi" w:hAnsiTheme="majorHAnsi" w:cstheme="majorHAnsi"/>
          <w:color w:val="auto"/>
        </w:rPr>
        <w:t xml:space="preserve"> </w:t>
      </w:r>
      <w:r w:rsidRPr="00342E9E">
        <w:rPr>
          <w:rFonts w:asciiTheme="majorHAnsi" w:hAnsiTheme="majorHAnsi" w:cstheme="majorHAnsi"/>
          <w:color w:val="auto"/>
        </w:rPr>
        <w:t>instances of noncompliance</w:t>
      </w:r>
      <w:r w:rsidR="001814BD">
        <w:rPr>
          <w:rFonts w:asciiTheme="majorHAnsi" w:hAnsiTheme="majorHAnsi" w:cstheme="majorHAnsi"/>
          <w:color w:val="auto"/>
        </w:rPr>
        <w:t>.</w:t>
      </w:r>
      <w:r w:rsidRPr="00342E9E">
        <w:rPr>
          <w:rFonts w:asciiTheme="majorHAnsi" w:hAnsiTheme="majorHAnsi" w:cstheme="majorHAnsi"/>
          <w:color w:val="auto"/>
        </w:rPr>
        <w:t xml:space="preserve">  </w:t>
      </w:r>
    </w:p>
    <w:p w14:paraId="4885AC32" w14:textId="77777777" w:rsidR="001814BD" w:rsidRDefault="001814BD" w:rsidP="00F54322">
      <w:pPr>
        <w:pStyle w:val="Default"/>
        <w:spacing w:after="9"/>
        <w:jc w:val="both"/>
        <w:rPr>
          <w:rFonts w:asciiTheme="majorHAnsi" w:hAnsiTheme="majorHAnsi" w:cstheme="majorHAnsi"/>
          <w:color w:val="auto"/>
        </w:rPr>
      </w:pPr>
    </w:p>
    <w:p w14:paraId="6D4B46B2" w14:textId="66A569EC" w:rsidR="00F54322" w:rsidRPr="00342E9E" w:rsidRDefault="001814BD" w:rsidP="00F54322">
      <w:pPr>
        <w:pStyle w:val="Default"/>
        <w:spacing w:after="9"/>
        <w:jc w:val="both"/>
        <w:rPr>
          <w:rFonts w:asciiTheme="majorHAnsi" w:hAnsiTheme="majorHAnsi" w:cstheme="majorHAnsi"/>
          <w:color w:val="auto"/>
        </w:rPr>
      </w:pPr>
      <w:r w:rsidRPr="001814BD">
        <w:rPr>
          <w:rFonts w:asciiTheme="majorHAnsi" w:hAnsiTheme="majorHAnsi" w:cstheme="majorHAnsi"/>
          <w:color w:val="auto"/>
        </w:rPr>
        <w:t xml:space="preserve">Risk </w:t>
      </w:r>
      <w:r>
        <w:rPr>
          <w:rFonts w:asciiTheme="majorHAnsi" w:hAnsiTheme="majorHAnsi" w:cstheme="majorHAnsi"/>
          <w:color w:val="auto"/>
        </w:rPr>
        <w:t>considerations</w:t>
      </w:r>
      <w:r w:rsidRPr="001814BD">
        <w:rPr>
          <w:rFonts w:asciiTheme="majorHAnsi" w:hAnsiTheme="majorHAnsi" w:cstheme="majorHAnsi"/>
          <w:color w:val="auto"/>
        </w:rPr>
        <w:t xml:space="preserve"> include an evaluation of both the magnitude of potential noncompliance and the probability that noncompliance will occur. </w:t>
      </w:r>
      <w:r>
        <w:rPr>
          <w:rFonts w:asciiTheme="majorHAnsi" w:hAnsiTheme="majorHAnsi" w:cstheme="majorHAnsi"/>
          <w:color w:val="auto"/>
        </w:rPr>
        <w:t>Initiatives and schools</w:t>
      </w:r>
      <w:r w:rsidRPr="001814BD">
        <w:rPr>
          <w:rFonts w:asciiTheme="majorHAnsi" w:hAnsiTheme="majorHAnsi" w:cstheme="majorHAnsi"/>
          <w:color w:val="auto"/>
        </w:rPr>
        <w:t xml:space="preserve"> will be selected for monitoring based on characteristics below (list is not exhaustive): </w:t>
      </w:r>
    </w:p>
    <w:p w14:paraId="7BE3FE9D" w14:textId="5C3C66D0" w:rsidR="00F54322" w:rsidRPr="000F30C4" w:rsidRDefault="00F54322" w:rsidP="000F30C4">
      <w:pPr>
        <w:pStyle w:val="Default"/>
        <w:numPr>
          <w:ilvl w:val="0"/>
          <w:numId w:val="7"/>
        </w:numPr>
        <w:spacing w:after="9"/>
        <w:jc w:val="both"/>
        <w:rPr>
          <w:rFonts w:asciiTheme="majorHAnsi" w:hAnsiTheme="majorHAnsi" w:cstheme="majorHAnsi"/>
          <w:color w:val="auto"/>
        </w:rPr>
      </w:pPr>
      <w:r w:rsidRPr="00342E9E">
        <w:rPr>
          <w:rFonts w:asciiTheme="majorHAnsi" w:hAnsiTheme="majorHAnsi" w:cstheme="majorHAnsi"/>
          <w:color w:val="auto"/>
        </w:rPr>
        <w:t>History of audit issues</w:t>
      </w:r>
      <w:r w:rsidR="005432FD" w:rsidRPr="00342E9E">
        <w:rPr>
          <w:rFonts w:asciiTheme="majorHAnsi" w:hAnsiTheme="majorHAnsi" w:cstheme="majorHAnsi"/>
          <w:color w:val="auto"/>
        </w:rPr>
        <w:t xml:space="preserve"> (</w:t>
      </w:r>
      <w:r w:rsidR="005B5C47" w:rsidRPr="00342E9E">
        <w:rPr>
          <w:rFonts w:asciiTheme="majorHAnsi" w:hAnsiTheme="majorHAnsi" w:cstheme="majorHAnsi"/>
          <w:color w:val="auto"/>
        </w:rPr>
        <w:t>OIG, Internal audit and m</w:t>
      </w:r>
      <w:r w:rsidR="005432FD" w:rsidRPr="00342E9E">
        <w:rPr>
          <w:rFonts w:asciiTheme="majorHAnsi" w:hAnsiTheme="majorHAnsi" w:cstheme="majorHAnsi"/>
          <w:color w:val="auto"/>
        </w:rPr>
        <w:t xml:space="preserve">onitoring </w:t>
      </w:r>
      <w:r w:rsidR="00126F8C" w:rsidRPr="00342E9E">
        <w:rPr>
          <w:rFonts w:asciiTheme="majorHAnsi" w:hAnsiTheme="majorHAnsi" w:cstheme="majorHAnsi"/>
          <w:color w:val="auto"/>
        </w:rPr>
        <w:t>reports)</w:t>
      </w:r>
      <w:r w:rsidR="000F30C4">
        <w:rPr>
          <w:rFonts w:asciiTheme="majorHAnsi" w:hAnsiTheme="majorHAnsi" w:cstheme="majorHAnsi"/>
          <w:color w:val="auto"/>
        </w:rPr>
        <w:t xml:space="preserve"> and </w:t>
      </w:r>
      <w:r w:rsidR="000F30C4" w:rsidRPr="00342E9E">
        <w:rPr>
          <w:rFonts w:asciiTheme="majorHAnsi" w:hAnsiTheme="majorHAnsi" w:cstheme="majorHAnsi"/>
          <w:color w:val="auto"/>
        </w:rPr>
        <w:t>Compliance with external state and federal parties (Single audits, OIG Reports, monitoring reports)</w:t>
      </w:r>
    </w:p>
    <w:p w14:paraId="74ABD939" w14:textId="666204DC" w:rsidR="00F54322" w:rsidRDefault="00F54322" w:rsidP="00A0252C">
      <w:pPr>
        <w:pStyle w:val="Default"/>
        <w:numPr>
          <w:ilvl w:val="0"/>
          <w:numId w:val="7"/>
        </w:numPr>
        <w:spacing w:after="9"/>
        <w:jc w:val="both"/>
        <w:rPr>
          <w:rFonts w:asciiTheme="majorHAnsi" w:hAnsiTheme="majorHAnsi" w:cstheme="majorHAnsi"/>
          <w:color w:val="auto"/>
        </w:rPr>
      </w:pPr>
      <w:r w:rsidRPr="00342E9E">
        <w:rPr>
          <w:rFonts w:asciiTheme="majorHAnsi" w:hAnsiTheme="majorHAnsi" w:cstheme="majorHAnsi"/>
          <w:color w:val="auto"/>
        </w:rPr>
        <w:t>Changes in laws/regulations</w:t>
      </w:r>
      <w:r w:rsidR="00126F8C" w:rsidRPr="00342E9E">
        <w:rPr>
          <w:rFonts w:asciiTheme="majorHAnsi" w:hAnsiTheme="majorHAnsi" w:cstheme="majorHAnsi"/>
          <w:color w:val="auto"/>
        </w:rPr>
        <w:t xml:space="preserve"> </w:t>
      </w:r>
      <w:r w:rsidR="005B5C47" w:rsidRPr="00342E9E">
        <w:rPr>
          <w:rFonts w:asciiTheme="majorHAnsi" w:hAnsiTheme="majorHAnsi" w:cstheme="majorHAnsi"/>
          <w:color w:val="auto"/>
        </w:rPr>
        <w:t>(Act 73-2019)</w:t>
      </w:r>
      <w:r w:rsidR="00F15BF4">
        <w:rPr>
          <w:rFonts w:asciiTheme="majorHAnsi" w:hAnsiTheme="majorHAnsi" w:cstheme="majorHAnsi"/>
          <w:color w:val="auto"/>
        </w:rPr>
        <w:t xml:space="preserve">. The regulation according to Act 73 of 2019, was issued after the selection of the schools for monitoring. By the time of the risk assessment all procedures were carried out under existing </w:t>
      </w:r>
      <w:r w:rsidR="00072D40">
        <w:rPr>
          <w:rFonts w:asciiTheme="majorHAnsi" w:hAnsiTheme="majorHAnsi" w:cstheme="majorHAnsi"/>
          <w:color w:val="auto"/>
        </w:rPr>
        <w:t xml:space="preserve">laws and regulations. Appropriately, this risk factor was considered but not applied. </w:t>
      </w:r>
      <w:r w:rsidR="00F15BF4">
        <w:rPr>
          <w:rFonts w:asciiTheme="majorHAnsi" w:hAnsiTheme="majorHAnsi" w:cstheme="majorHAnsi"/>
          <w:color w:val="auto"/>
        </w:rPr>
        <w:t xml:space="preserve"> </w:t>
      </w:r>
    </w:p>
    <w:p w14:paraId="7FB95A36" w14:textId="77777777" w:rsidR="001814BD" w:rsidRPr="001814BD" w:rsidRDefault="001814BD" w:rsidP="001814BD">
      <w:pPr>
        <w:pStyle w:val="Default"/>
        <w:numPr>
          <w:ilvl w:val="0"/>
          <w:numId w:val="7"/>
        </w:numPr>
        <w:spacing w:after="9"/>
        <w:jc w:val="both"/>
        <w:rPr>
          <w:rFonts w:asciiTheme="majorHAnsi" w:hAnsiTheme="majorHAnsi" w:cstheme="majorHAnsi"/>
          <w:color w:val="auto"/>
        </w:rPr>
      </w:pPr>
      <w:r w:rsidRPr="001814BD">
        <w:rPr>
          <w:rFonts w:asciiTheme="majorHAnsi" w:hAnsiTheme="majorHAnsi" w:cstheme="majorHAnsi"/>
          <w:color w:val="auto"/>
        </w:rPr>
        <w:t xml:space="preserve">Level of impact of </w:t>
      </w:r>
      <w:r>
        <w:rPr>
          <w:rFonts w:asciiTheme="majorHAnsi" w:hAnsiTheme="majorHAnsi" w:cstheme="majorHAnsi"/>
          <w:color w:val="auto"/>
        </w:rPr>
        <w:t xml:space="preserve">2017 </w:t>
      </w:r>
      <w:r w:rsidRPr="001814BD">
        <w:rPr>
          <w:rFonts w:asciiTheme="majorHAnsi" w:hAnsiTheme="majorHAnsi" w:cstheme="majorHAnsi"/>
          <w:color w:val="auto"/>
        </w:rPr>
        <w:t>hurricanes</w:t>
      </w:r>
    </w:p>
    <w:p w14:paraId="04C6C939" w14:textId="77777777" w:rsidR="001814BD" w:rsidRPr="001814BD" w:rsidRDefault="001814BD" w:rsidP="001814BD">
      <w:pPr>
        <w:pStyle w:val="Default"/>
        <w:numPr>
          <w:ilvl w:val="0"/>
          <w:numId w:val="7"/>
        </w:numPr>
        <w:spacing w:after="9"/>
        <w:jc w:val="both"/>
        <w:rPr>
          <w:rFonts w:asciiTheme="majorHAnsi" w:hAnsiTheme="majorHAnsi" w:cstheme="majorHAnsi"/>
          <w:color w:val="auto"/>
        </w:rPr>
      </w:pPr>
      <w:r w:rsidRPr="001814BD">
        <w:rPr>
          <w:rFonts w:asciiTheme="majorHAnsi" w:hAnsiTheme="majorHAnsi" w:cstheme="majorHAnsi"/>
          <w:color w:val="auto"/>
        </w:rPr>
        <w:t xml:space="preserve">Size of </w:t>
      </w:r>
      <w:r w:rsidR="00EE1A84">
        <w:rPr>
          <w:rFonts w:asciiTheme="majorHAnsi" w:hAnsiTheme="majorHAnsi" w:cstheme="majorHAnsi"/>
          <w:color w:val="auto"/>
        </w:rPr>
        <w:t>awarded funding</w:t>
      </w:r>
    </w:p>
    <w:p w14:paraId="14669D81" w14:textId="77777777" w:rsidR="001814BD" w:rsidRPr="001814BD" w:rsidRDefault="001814BD" w:rsidP="0084653A">
      <w:pPr>
        <w:pStyle w:val="Default"/>
        <w:numPr>
          <w:ilvl w:val="0"/>
          <w:numId w:val="7"/>
        </w:numPr>
        <w:spacing w:after="9"/>
        <w:jc w:val="both"/>
        <w:rPr>
          <w:rFonts w:asciiTheme="majorHAnsi" w:hAnsiTheme="majorHAnsi" w:cstheme="majorHAnsi"/>
          <w:color w:val="auto"/>
        </w:rPr>
      </w:pPr>
      <w:r w:rsidRPr="001814BD">
        <w:rPr>
          <w:rFonts w:asciiTheme="majorHAnsi" w:hAnsiTheme="majorHAnsi" w:cstheme="majorHAnsi"/>
          <w:color w:val="auto"/>
        </w:rPr>
        <w:t xml:space="preserve">Size of </w:t>
      </w:r>
      <w:r>
        <w:rPr>
          <w:rFonts w:asciiTheme="majorHAnsi" w:hAnsiTheme="majorHAnsi" w:cstheme="majorHAnsi"/>
          <w:color w:val="auto"/>
        </w:rPr>
        <w:t xml:space="preserve">student </w:t>
      </w:r>
      <w:r w:rsidRPr="001814BD">
        <w:rPr>
          <w:rFonts w:asciiTheme="majorHAnsi" w:hAnsiTheme="majorHAnsi" w:cstheme="majorHAnsi"/>
          <w:color w:val="auto"/>
        </w:rPr>
        <w:t>enrollment</w:t>
      </w:r>
      <w:r>
        <w:rPr>
          <w:rFonts w:asciiTheme="majorHAnsi" w:hAnsiTheme="majorHAnsi" w:cstheme="majorHAnsi"/>
          <w:color w:val="auto"/>
        </w:rPr>
        <w:t xml:space="preserve"> in respective school</w:t>
      </w:r>
    </w:p>
    <w:p w14:paraId="3FB524F8" w14:textId="52924A41" w:rsidR="00F54322" w:rsidRPr="00702CDC" w:rsidRDefault="00F54322" w:rsidP="00957860">
      <w:pPr>
        <w:pStyle w:val="Default"/>
        <w:numPr>
          <w:ilvl w:val="0"/>
          <w:numId w:val="7"/>
        </w:numPr>
        <w:spacing w:after="9"/>
        <w:jc w:val="both"/>
        <w:rPr>
          <w:rFonts w:asciiTheme="majorHAnsi" w:hAnsiTheme="majorHAnsi" w:cstheme="majorHAnsi"/>
          <w:color w:val="auto"/>
        </w:rPr>
      </w:pPr>
      <w:r w:rsidRPr="00342E9E">
        <w:rPr>
          <w:rFonts w:asciiTheme="majorHAnsi" w:hAnsiTheme="majorHAnsi" w:cstheme="majorHAnsi"/>
          <w:color w:val="auto"/>
        </w:rPr>
        <w:t>Further natural events</w:t>
      </w:r>
      <w:r w:rsidR="005432FD" w:rsidRPr="00342E9E">
        <w:rPr>
          <w:rFonts w:asciiTheme="majorHAnsi" w:hAnsiTheme="majorHAnsi" w:cstheme="majorHAnsi"/>
          <w:color w:val="auto"/>
        </w:rPr>
        <w:t xml:space="preserve"> (Earthquakes, Sahara dust, Volcanic eruptions in Lesser Antilles, 2020 Atlantic Storm Season</w:t>
      </w:r>
      <w:r w:rsidR="00F15BF4" w:rsidRPr="00342E9E">
        <w:rPr>
          <w:rFonts w:asciiTheme="majorHAnsi" w:hAnsiTheme="majorHAnsi" w:cstheme="majorHAnsi"/>
          <w:color w:val="auto"/>
        </w:rPr>
        <w:t>)</w:t>
      </w:r>
      <w:r w:rsidR="00F15BF4">
        <w:rPr>
          <w:rFonts w:asciiTheme="majorHAnsi" w:hAnsiTheme="majorHAnsi" w:cstheme="majorHAnsi"/>
          <w:color w:val="auto"/>
        </w:rPr>
        <w:t xml:space="preserve">. It is important to note that by the time of the school selection for monitoring, no further natural disaster had happened. After the selection was performed, Puerto </w:t>
      </w:r>
      <w:r w:rsidR="00F15BF4" w:rsidRPr="00702CDC">
        <w:rPr>
          <w:rFonts w:asciiTheme="majorHAnsi" w:hAnsiTheme="majorHAnsi" w:cstheme="majorHAnsi"/>
          <w:color w:val="auto"/>
        </w:rPr>
        <w:t xml:space="preserve">Rico experienced earthquakes and a global COVID19 pandemic. </w:t>
      </w:r>
    </w:p>
    <w:p w14:paraId="07C5C48A" w14:textId="1818A11D" w:rsidR="00F54322" w:rsidRPr="00702CDC" w:rsidRDefault="00F54322">
      <w:pPr>
        <w:pStyle w:val="Default"/>
        <w:numPr>
          <w:ilvl w:val="0"/>
          <w:numId w:val="7"/>
        </w:numPr>
        <w:spacing w:after="9"/>
        <w:jc w:val="both"/>
        <w:rPr>
          <w:rFonts w:asciiTheme="majorHAnsi" w:hAnsiTheme="majorHAnsi" w:cstheme="majorHAnsi"/>
          <w:color w:val="auto"/>
        </w:rPr>
      </w:pPr>
      <w:r w:rsidRPr="00702CDC">
        <w:rPr>
          <w:rFonts w:asciiTheme="majorHAnsi" w:hAnsiTheme="majorHAnsi" w:cstheme="majorHAnsi"/>
          <w:color w:val="auto"/>
        </w:rPr>
        <w:t>Management override</w:t>
      </w:r>
      <w:r w:rsidR="005432FD" w:rsidRPr="00702CDC">
        <w:rPr>
          <w:rFonts w:asciiTheme="majorHAnsi" w:hAnsiTheme="majorHAnsi" w:cstheme="majorHAnsi"/>
          <w:color w:val="auto"/>
        </w:rPr>
        <w:t xml:space="preserve"> (Administrative and Financial </w:t>
      </w:r>
      <w:r w:rsidR="005E580E" w:rsidRPr="00702CDC">
        <w:rPr>
          <w:rFonts w:asciiTheme="majorHAnsi" w:hAnsiTheme="majorHAnsi" w:cstheme="majorHAnsi"/>
          <w:color w:val="auto"/>
        </w:rPr>
        <w:t>o</w:t>
      </w:r>
      <w:r w:rsidR="005432FD" w:rsidRPr="00702CDC">
        <w:rPr>
          <w:rFonts w:asciiTheme="majorHAnsi" w:hAnsiTheme="majorHAnsi" w:cstheme="majorHAnsi"/>
          <w:color w:val="auto"/>
        </w:rPr>
        <w:t>verrides probability)</w:t>
      </w:r>
      <w:r w:rsidR="00702CDC" w:rsidRPr="00455A9F">
        <w:rPr>
          <w:rFonts w:asciiTheme="majorHAnsi" w:hAnsiTheme="majorHAnsi" w:cstheme="majorHAnsi"/>
          <w:color w:val="auto"/>
        </w:rPr>
        <w:t xml:space="preserve">, due to lack of experience, for example. </w:t>
      </w:r>
    </w:p>
    <w:p w14:paraId="60AF6C65" w14:textId="77777777" w:rsidR="00D35AEE" w:rsidRDefault="00D35AEE" w:rsidP="00455A9F">
      <w:pPr>
        <w:pStyle w:val="Default"/>
        <w:spacing w:after="9"/>
        <w:jc w:val="both"/>
        <w:rPr>
          <w:rFonts w:asciiTheme="majorHAnsi" w:hAnsiTheme="majorHAnsi" w:cstheme="majorHAnsi"/>
          <w:color w:val="FF0000"/>
          <w:sz w:val="22"/>
          <w:szCs w:val="22"/>
        </w:rPr>
      </w:pPr>
    </w:p>
    <w:p w14:paraId="44DE432C" w14:textId="77777777" w:rsidR="002C0E6B" w:rsidRPr="00C539FD" w:rsidRDefault="002C0E6B" w:rsidP="00C539FD">
      <w:pPr>
        <w:pStyle w:val="Heading3"/>
      </w:pPr>
      <w:r w:rsidRPr="00C539FD">
        <w:t>Risk Assessment Prioritization Process</w:t>
      </w:r>
    </w:p>
    <w:p w14:paraId="1DC3B8B7" w14:textId="0B4E715C" w:rsidR="004A1374" w:rsidRDefault="002C0E6B" w:rsidP="002C0E6B">
      <w:pPr>
        <w:pStyle w:val="Default"/>
        <w:spacing w:after="9"/>
        <w:jc w:val="both"/>
        <w:rPr>
          <w:rFonts w:asciiTheme="majorHAnsi" w:hAnsiTheme="majorHAnsi" w:cstheme="majorHAnsi"/>
          <w:color w:val="000000" w:themeColor="text1"/>
        </w:rPr>
      </w:pPr>
      <w:r w:rsidRPr="00754C50">
        <w:rPr>
          <w:rFonts w:asciiTheme="majorHAnsi" w:hAnsiTheme="majorHAnsi" w:cstheme="majorHAnsi"/>
          <w:color w:val="000000" w:themeColor="text1"/>
        </w:rPr>
        <w:t>The PRDE has in place a consolidated risk assessment procedure to determine the schools and regions that require the most attention and is based on past and current performance of meeting the federal programs requirements. The P</w:t>
      </w:r>
      <w:r>
        <w:rPr>
          <w:rFonts w:asciiTheme="majorHAnsi" w:hAnsiTheme="majorHAnsi" w:cstheme="majorHAnsi"/>
          <w:color w:val="000000" w:themeColor="text1"/>
        </w:rPr>
        <w:t xml:space="preserve">RDE Monitoring Unit of the ASFA </w:t>
      </w:r>
      <w:r w:rsidRPr="00754C50">
        <w:rPr>
          <w:rFonts w:asciiTheme="majorHAnsi" w:hAnsiTheme="majorHAnsi" w:cstheme="majorHAnsi"/>
          <w:color w:val="000000" w:themeColor="text1"/>
        </w:rPr>
        <w:t>use</w:t>
      </w:r>
      <w:r>
        <w:rPr>
          <w:rFonts w:asciiTheme="majorHAnsi" w:hAnsiTheme="majorHAnsi" w:cstheme="majorHAnsi"/>
          <w:color w:val="000000" w:themeColor="text1"/>
        </w:rPr>
        <w:t>s</w:t>
      </w:r>
      <w:r w:rsidRPr="00754C50">
        <w:rPr>
          <w:rFonts w:asciiTheme="majorHAnsi" w:hAnsiTheme="majorHAnsi" w:cstheme="majorHAnsi"/>
          <w:color w:val="000000" w:themeColor="text1"/>
        </w:rPr>
        <w:t xml:space="preserve"> the risk assessment to identify and monitor the progress of each school receiving federal funds. </w:t>
      </w:r>
    </w:p>
    <w:p w14:paraId="78921420" w14:textId="77777777" w:rsidR="004A1374" w:rsidRDefault="004A1374" w:rsidP="002C0E6B">
      <w:pPr>
        <w:pStyle w:val="Default"/>
        <w:spacing w:after="9"/>
        <w:jc w:val="both"/>
        <w:rPr>
          <w:rFonts w:asciiTheme="majorHAnsi" w:hAnsiTheme="majorHAnsi" w:cstheme="majorHAnsi"/>
          <w:color w:val="000000" w:themeColor="text1"/>
        </w:rPr>
      </w:pPr>
    </w:p>
    <w:p w14:paraId="171B130D" w14:textId="77777777" w:rsidR="004A1374" w:rsidRPr="004A1374" w:rsidRDefault="004A1374" w:rsidP="004A1374">
      <w:pPr>
        <w:pStyle w:val="Default"/>
        <w:spacing w:after="9"/>
        <w:jc w:val="both"/>
        <w:rPr>
          <w:rFonts w:asciiTheme="majorHAnsi" w:hAnsiTheme="majorHAnsi" w:cstheme="majorHAnsi"/>
          <w:color w:val="000000" w:themeColor="text1"/>
        </w:rPr>
      </w:pPr>
      <w:r w:rsidRPr="004A1374">
        <w:rPr>
          <w:rFonts w:asciiTheme="majorHAnsi" w:hAnsiTheme="majorHAnsi" w:cstheme="majorHAnsi"/>
          <w:color w:val="000000" w:themeColor="text1"/>
        </w:rPr>
        <w:t xml:space="preserve">The overall level of risk identified should dictate the frequency and depth of monitoring practices, including how to mitigate identified risks, for example, providing additional training and technical assistance, or increasing the frequency of </w:t>
      </w:r>
      <w:r w:rsidR="004830A4">
        <w:rPr>
          <w:rFonts w:asciiTheme="majorHAnsi" w:hAnsiTheme="majorHAnsi" w:cstheme="majorHAnsi"/>
          <w:color w:val="000000" w:themeColor="text1"/>
        </w:rPr>
        <w:t>monitoring</w:t>
      </w:r>
      <w:r w:rsidRPr="004A1374">
        <w:rPr>
          <w:rFonts w:asciiTheme="majorHAnsi" w:hAnsiTheme="majorHAnsi" w:cstheme="majorHAnsi"/>
          <w:color w:val="000000" w:themeColor="text1"/>
        </w:rPr>
        <w:t xml:space="preserve">. </w:t>
      </w:r>
    </w:p>
    <w:p w14:paraId="04B6A448" w14:textId="77777777" w:rsidR="004A1374" w:rsidRPr="004A1374" w:rsidRDefault="004A1374" w:rsidP="004A1374">
      <w:pPr>
        <w:pStyle w:val="Default"/>
        <w:spacing w:after="9"/>
        <w:jc w:val="both"/>
        <w:rPr>
          <w:rFonts w:asciiTheme="majorHAnsi" w:hAnsiTheme="majorHAnsi" w:cstheme="majorHAnsi"/>
          <w:color w:val="000000" w:themeColor="text1"/>
        </w:rPr>
      </w:pPr>
    </w:p>
    <w:p w14:paraId="6DC9075D" w14:textId="77777777" w:rsidR="004A1374" w:rsidRPr="004A1374" w:rsidRDefault="004A1374" w:rsidP="004A1374">
      <w:pPr>
        <w:pStyle w:val="Default"/>
        <w:spacing w:after="9"/>
        <w:jc w:val="both"/>
        <w:rPr>
          <w:rFonts w:asciiTheme="majorHAnsi" w:hAnsiTheme="majorHAnsi" w:cstheme="majorHAnsi"/>
          <w:color w:val="000000" w:themeColor="text1"/>
        </w:rPr>
      </w:pPr>
      <w:r w:rsidRPr="004A1374">
        <w:rPr>
          <w:rFonts w:asciiTheme="majorHAnsi" w:hAnsiTheme="majorHAnsi" w:cstheme="majorHAnsi"/>
          <w:color w:val="000000" w:themeColor="text1"/>
        </w:rPr>
        <w:t>The focus of monitoring may be different based on the implementation stage of each individual initiative</w:t>
      </w:r>
      <w:r w:rsidR="00F4034F">
        <w:rPr>
          <w:rFonts w:asciiTheme="majorHAnsi" w:hAnsiTheme="majorHAnsi" w:cstheme="majorHAnsi"/>
          <w:color w:val="000000" w:themeColor="text1"/>
        </w:rPr>
        <w:t>/school</w:t>
      </w:r>
      <w:r w:rsidRPr="004A1374">
        <w:rPr>
          <w:rFonts w:asciiTheme="majorHAnsi" w:hAnsiTheme="majorHAnsi" w:cstheme="majorHAnsi"/>
          <w:color w:val="000000" w:themeColor="text1"/>
        </w:rPr>
        <w:t>:</w:t>
      </w:r>
    </w:p>
    <w:p w14:paraId="542C773D" w14:textId="77777777" w:rsidR="004A1374" w:rsidRPr="004A1374" w:rsidRDefault="004A1374" w:rsidP="004A1374">
      <w:pPr>
        <w:pStyle w:val="Default"/>
        <w:spacing w:after="9"/>
        <w:jc w:val="both"/>
        <w:rPr>
          <w:rFonts w:asciiTheme="majorHAnsi" w:hAnsiTheme="majorHAnsi" w:cstheme="majorHAnsi"/>
          <w:color w:val="000000" w:themeColor="text1"/>
        </w:rPr>
      </w:pPr>
    </w:p>
    <w:p w14:paraId="0C22C214" w14:textId="5B5F9A01" w:rsidR="004A1374" w:rsidRPr="004A1374" w:rsidRDefault="004A1374" w:rsidP="004A1374">
      <w:pPr>
        <w:pStyle w:val="Default"/>
        <w:spacing w:after="9"/>
        <w:jc w:val="both"/>
        <w:rPr>
          <w:rFonts w:asciiTheme="majorHAnsi" w:hAnsiTheme="majorHAnsi" w:cstheme="majorHAnsi"/>
          <w:color w:val="000000" w:themeColor="text1"/>
        </w:rPr>
      </w:pPr>
      <w:r w:rsidRPr="004A1374">
        <w:rPr>
          <w:rFonts w:asciiTheme="majorHAnsi" w:hAnsiTheme="majorHAnsi" w:cstheme="majorHAnsi"/>
          <w:color w:val="000000" w:themeColor="text1"/>
        </w:rPr>
        <w:t xml:space="preserve">Formulation – At the formulation stage, each initiative is being developed. The focus at this stage may be </w:t>
      </w:r>
      <w:r w:rsidR="00072D40" w:rsidRPr="004A1374">
        <w:rPr>
          <w:rFonts w:asciiTheme="majorHAnsi" w:hAnsiTheme="majorHAnsi" w:cstheme="majorHAnsi"/>
          <w:color w:val="000000" w:themeColor="text1"/>
        </w:rPr>
        <w:t>on</w:t>
      </w:r>
      <w:r w:rsidRPr="004A1374">
        <w:rPr>
          <w:rFonts w:asciiTheme="majorHAnsi" w:hAnsiTheme="majorHAnsi" w:cstheme="majorHAnsi"/>
          <w:color w:val="000000" w:themeColor="text1"/>
        </w:rPr>
        <w:t xml:space="preserve"> understanding the initiative/school’s capacity to manage grant funding through the risk assessment process; understanding how the work will be undertaken, including whether the initiative/school will use procurement (by whom and on what timeline); analysis of grant documentation (as applicable); or walkthroughs of financial/accounting processes.</w:t>
      </w:r>
    </w:p>
    <w:p w14:paraId="2C7C4325" w14:textId="0E320D0C" w:rsidR="004A1374" w:rsidRPr="004A1374" w:rsidRDefault="004A1374" w:rsidP="004A1374">
      <w:pPr>
        <w:pStyle w:val="Default"/>
        <w:spacing w:after="9"/>
        <w:jc w:val="both"/>
        <w:rPr>
          <w:rFonts w:asciiTheme="majorHAnsi" w:hAnsiTheme="majorHAnsi" w:cstheme="majorHAnsi"/>
          <w:color w:val="000000" w:themeColor="text1"/>
        </w:rPr>
      </w:pPr>
      <w:r w:rsidRPr="004A1374">
        <w:rPr>
          <w:rFonts w:asciiTheme="majorHAnsi" w:hAnsiTheme="majorHAnsi" w:cstheme="majorHAnsi"/>
          <w:color w:val="000000" w:themeColor="text1"/>
        </w:rPr>
        <w:t xml:space="preserve">Procurement – At this stage of each initiative, procurement is being implemented by the </w:t>
      </w:r>
      <w:r w:rsidR="00035F06">
        <w:rPr>
          <w:rFonts w:asciiTheme="majorHAnsi" w:hAnsiTheme="majorHAnsi" w:cstheme="majorHAnsi"/>
          <w:color w:val="000000" w:themeColor="text1"/>
        </w:rPr>
        <w:t>initiative/school</w:t>
      </w:r>
      <w:r w:rsidRPr="004A1374">
        <w:rPr>
          <w:rFonts w:asciiTheme="majorHAnsi" w:hAnsiTheme="majorHAnsi" w:cstheme="majorHAnsi"/>
          <w:color w:val="000000" w:themeColor="text1"/>
        </w:rPr>
        <w:t xml:space="preserve">.  Analysis of the documentation that will form the basis of procurement may be ongoing or completed </w:t>
      </w:r>
      <w:r w:rsidRPr="004A1374">
        <w:rPr>
          <w:rFonts w:asciiTheme="majorHAnsi" w:hAnsiTheme="majorHAnsi" w:cstheme="majorHAnsi"/>
          <w:color w:val="000000" w:themeColor="text1"/>
        </w:rPr>
        <w:lastRenderedPageBreak/>
        <w:t xml:space="preserve">during this </w:t>
      </w:r>
      <w:r w:rsidR="00035F06" w:rsidRPr="004A1374">
        <w:rPr>
          <w:rFonts w:asciiTheme="majorHAnsi" w:hAnsiTheme="majorHAnsi" w:cstheme="majorHAnsi"/>
          <w:color w:val="000000" w:themeColor="text1"/>
        </w:rPr>
        <w:t>phase and</w:t>
      </w:r>
      <w:r w:rsidRPr="004A1374">
        <w:rPr>
          <w:rFonts w:asciiTheme="majorHAnsi" w:hAnsiTheme="majorHAnsi" w:cstheme="majorHAnsi"/>
          <w:color w:val="000000" w:themeColor="text1"/>
        </w:rPr>
        <w:t xml:space="preserve"> will be cross-referenced in monitoring visits to determine whether procurement was consistent with EDGAR, 2 CFR 200 requirements</w:t>
      </w:r>
      <w:r w:rsidR="00AE1922">
        <w:rPr>
          <w:rFonts w:asciiTheme="majorHAnsi" w:hAnsiTheme="majorHAnsi" w:cstheme="majorHAnsi"/>
          <w:color w:val="000000" w:themeColor="text1"/>
        </w:rPr>
        <w:t xml:space="preserve">, </w:t>
      </w:r>
      <w:r w:rsidRPr="004A1374">
        <w:rPr>
          <w:rFonts w:asciiTheme="majorHAnsi" w:hAnsiTheme="majorHAnsi" w:cstheme="majorHAnsi"/>
          <w:color w:val="000000" w:themeColor="text1"/>
        </w:rPr>
        <w:t xml:space="preserve">the grant </w:t>
      </w:r>
      <w:r w:rsidR="00AE1922">
        <w:rPr>
          <w:rFonts w:asciiTheme="majorHAnsi" w:hAnsiTheme="majorHAnsi" w:cstheme="majorHAnsi"/>
          <w:color w:val="000000" w:themeColor="text1"/>
        </w:rPr>
        <w:t xml:space="preserve">required </w:t>
      </w:r>
      <w:r w:rsidRPr="004A1374">
        <w:rPr>
          <w:rFonts w:asciiTheme="majorHAnsi" w:hAnsiTheme="majorHAnsi" w:cstheme="majorHAnsi"/>
          <w:color w:val="000000" w:themeColor="text1"/>
        </w:rPr>
        <w:t>documentation</w:t>
      </w:r>
      <w:r w:rsidR="00AE1922">
        <w:rPr>
          <w:rFonts w:asciiTheme="majorHAnsi" w:hAnsiTheme="majorHAnsi" w:cstheme="majorHAnsi"/>
          <w:color w:val="000000" w:themeColor="text1"/>
        </w:rPr>
        <w:t xml:space="preserve"> and other applicable laws and regulations</w:t>
      </w:r>
      <w:r w:rsidRPr="004A1374">
        <w:rPr>
          <w:rFonts w:asciiTheme="majorHAnsi" w:hAnsiTheme="majorHAnsi" w:cstheme="majorHAnsi"/>
          <w:color w:val="000000" w:themeColor="text1"/>
        </w:rPr>
        <w:t>.</w:t>
      </w:r>
    </w:p>
    <w:p w14:paraId="3628C007" w14:textId="77777777" w:rsidR="004A1374" w:rsidRPr="004A1374" w:rsidRDefault="004A1374" w:rsidP="004A1374">
      <w:pPr>
        <w:pStyle w:val="Default"/>
        <w:spacing w:after="9"/>
        <w:jc w:val="both"/>
        <w:rPr>
          <w:rFonts w:asciiTheme="majorHAnsi" w:hAnsiTheme="majorHAnsi" w:cstheme="majorHAnsi"/>
          <w:color w:val="000000" w:themeColor="text1"/>
        </w:rPr>
      </w:pPr>
    </w:p>
    <w:p w14:paraId="545BA15C" w14:textId="77777777" w:rsidR="004A1374" w:rsidRPr="004A1374" w:rsidRDefault="004A1374" w:rsidP="004A1374">
      <w:pPr>
        <w:pStyle w:val="Default"/>
        <w:spacing w:after="9"/>
        <w:jc w:val="both"/>
        <w:rPr>
          <w:rFonts w:asciiTheme="majorHAnsi" w:hAnsiTheme="majorHAnsi" w:cstheme="majorHAnsi"/>
          <w:color w:val="000000" w:themeColor="text1"/>
        </w:rPr>
      </w:pPr>
      <w:r w:rsidRPr="004A1374">
        <w:rPr>
          <w:rFonts w:asciiTheme="majorHAnsi" w:hAnsiTheme="majorHAnsi" w:cstheme="majorHAnsi"/>
          <w:color w:val="000000" w:themeColor="text1"/>
        </w:rPr>
        <w:t xml:space="preserve">Execution – During the execution phase, the broadest scope of monitoring may be initiated as actual expenditures can be observed against budgets, in addition to evaluating how the corresponding supporting documentation is organized and maintained. At this stage, drawdowns of federal funding are also likely being requested. Throughout the execution phase, there remain opportunities for the </w:t>
      </w:r>
      <w:r w:rsidR="00035F06">
        <w:rPr>
          <w:rFonts w:asciiTheme="majorHAnsi" w:hAnsiTheme="majorHAnsi" w:cstheme="majorHAnsi"/>
          <w:color w:val="000000" w:themeColor="text1"/>
        </w:rPr>
        <w:t>initiative/school</w:t>
      </w:r>
      <w:r w:rsidRPr="004A1374">
        <w:rPr>
          <w:rFonts w:asciiTheme="majorHAnsi" w:hAnsiTheme="majorHAnsi" w:cstheme="majorHAnsi"/>
          <w:color w:val="000000" w:themeColor="text1"/>
        </w:rPr>
        <w:t xml:space="preserve"> to improve their performance in the areas observed.</w:t>
      </w:r>
    </w:p>
    <w:p w14:paraId="5A4A37F0" w14:textId="77777777" w:rsidR="004A1374" w:rsidRPr="004A1374" w:rsidRDefault="004A1374" w:rsidP="004A1374">
      <w:pPr>
        <w:pStyle w:val="Default"/>
        <w:spacing w:after="9"/>
        <w:jc w:val="both"/>
        <w:rPr>
          <w:rFonts w:asciiTheme="majorHAnsi" w:hAnsiTheme="majorHAnsi" w:cstheme="majorHAnsi"/>
          <w:color w:val="000000" w:themeColor="text1"/>
        </w:rPr>
      </w:pPr>
    </w:p>
    <w:p w14:paraId="6C50D324" w14:textId="77777777" w:rsidR="004A1374" w:rsidRDefault="004A1374" w:rsidP="004A1374">
      <w:pPr>
        <w:pStyle w:val="Default"/>
        <w:spacing w:after="9"/>
        <w:jc w:val="both"/>
        <w:rPr>
          <w:rFonts w:asciiTheme="majorHAnsi" w:hAnsiTheme="majorHAnsi" w:cstheme="majorHAnsi"/>
          <w:color w:val="000000" w:themeColor="text1"/>
        </w:rPr>
      </w:pPr>
      <w:r w:rsidRPr="00583BC4">
        <w:rPr>
          <w:rFonts w:asciiTheme="majorHAnsi" w:hAnsiTheme="majorHAnsi" w:cstheme="majorHAnsi"/>
          <w:color w:val="000000" w:themeColor="text1"/>
        </w:rPr>
        <w:t xml:space="preserve">Closeout – During closeout, detailed analyses of documentation and expenses may be finalized. This stage encompasses fund and inventory reconciliation, as well as final reporting of project progress (milestones, objectives, </w:t>
      </w:r>
      <w:r w:rsidR="00D0127E" w:rsidRPr="00583BC4">
        <w:rPr>
          <w:rFonts w:asciiTheme="majorHAnsi" w:hAnsiTheme="majorHAnsi" w:cstheme="majorHAnsi"/>
          <w:color w:val="000000" w:themeColor="text1"/>
        </w:rPr>
        <w:t>etc.</w:t>
      </w:r>
      <w:r w:rsidRPr="00583BC4">
        <w:rPr>
          <w:rFonts w:asciiTheme="majorHAnsi" w:hAnsiTheme="majorHAnsi" w:cstheme="majorHAnsi"/>
          <w:color w:val="000000" w:themeColor="text1"/>
        </w:rPr>
        <w:t xml:space="preserve">). Deficiencies can be noted for the </w:t>
      </w:r>
      <w:r w:rsidR="00035F06" w:rsidRPr="00583BC4">
        <w:rPr>
          <w:rFonts w:asciiTheme="majorHAnsi" w:hAnsiTheme="majorHAnsi" w:cstheme="majorHAnsi"/>
          <w:color w:val="000000" w:themeColor="text1"/>
        </w:rPr>
        <w:t>initiative/school</w:t>
      </w:r>
      <w:r w:rsidRPr="00583BC4">
        <w:rPr>
          <w:rFonts w:asciiTheme="majorHAnsi" w:hAnsiTheme="majorHAnsi" w:cstheme="majorHAnsi"/>
          <w:color w:val="000000" w:themeColor="text1"/>
        </w:rPr>
        <w:t xml:space="preserve"> to mitigate, if possible.  </w:t>
      </w:r>
    </w:p>
    <w:p w14:paraId="73C10DED" w14:textId="77777777" w:rsidR="004A1374" w:rsidRDefault="004A1374" w:rsidP="002C0E6B">
      <w:pPr>
        <w:pStyle w:val="Default"/>
        <w:spacing w:after="9"/>
        <w:jc w:val="both"/>
        <w:rPr>
          <w:rFonts w:asciiTheme="majorHAnsi" w:hAnsiTheme="majorHAnsi" w:cstheme="majorHAnsi"/>
          <w:color w:val="000000" w:themeColor="text1"/>
        </w:rPr>
      </w:pPr>
    </w:p>
    <w:p w14:paraId="5040350F" w14:textId="5FDEB325" w:rsidR="002C0E6B" w:rsidRPr="00754C50" w:rsidRDefault="002C0E6B" w:rsidP="002C0E6B">
      <w:pPr>
        <w:pStyle w:val="Default"/>
        <w:spacing w:after="9"/>
        <w:jc w:val="both"/>
        <w:rPr>
          <w:rFonts w:asciiTheme="majorHAnsi" w:hAnsiTheme="majorHAnsi" w:cstheme="majorHAnsi"/>
          <w:color w:val="000000" w:themeColor="text1"/>
        </w:rPr>
      </w:pPr>
      <w:r w:rsidRPr="00754C50">
        <w:rPr>
          <w:rFonts w:asciiTheme="majorHAnsi" w:hAnsiTheme="majorHAnsi" w:cstheme="majorHAnsi"/>
          <w:color w:val="000000" w:themeColor="text1"/>
        </w:rPr>
        <w:t>Under the Restart program</w:t>
      </w:r>
      <w:r w:rsidR="004A1374">
        <w:rPr>
          <w:rFonts w:asciiTheme="majorHAnsi" w:hAnsiTheme="majorHAnsi" w:cstheme="majorHAnsi"/>
          <w:color w:val="000000" w:themeColor="text1"/>
        </w:rPr>
        <w:t>,</w:t>
      </w:r>
      <w:r>
        <w:rPr>
          <w:rFonts w:asciiTheme="majorHAnsi" w:hAnsiTheme="majorHAnsi" w:cstheme="majorHAnsi"/>
          <w:color w:val="000000" w:themeColor="text1"/>
        </w:rPr>
        <w:t xml:space="preserve"> </w:t>
      </w:r>
      <w:r w:rsidRPr="00754C50">
        <w:rPr>
          <w:rFonts w:asciiTheme="majorHAnsi" w:hAnsiTheme="majorHAnsi" w:cstheme="majorHAnsi"/>
          <w:color w:val="000000" w:themeColor="text1"/>
        </w:rPr>
        <w:t>PRDE will use the following</w:t>
      </w:r>
      <w:r>
        <w:rPr>
          <w:rFonts w:asciiTheme="majorHAnsi" w:hAnsiTheme="majorHAnsi" w:cstheme="majorHAnsi"/>
          <w:color w:val="000000" w:themeColor="text1"/>
        </w:rPr>
        <w:t xml:space="preserve"> </w:t>
      </w:r>
      <w:r w:rsidRPr="00754C50">
        <w:rPr>
          <w:rFonts w:asciiTheme="majorHAnsi" w:hAnsiTheme="majorHAnsi" w:cstheme="majorHAnsi"/>
          <w:color w:val="000000" w:themeColor="text1"/>
        </w:rPr>
        <w:t xml:space="preserve">factors to assess risks and prioritize monitoring efforts: </w:t>
      </w:r>
    </w:p>
    <w:p w14:paraId="4A4052F2" w14:textId="77777777" w:rsidR="002C0E6B" w:rsidRPr="00754C50" w:rsidRDefault="002C0E6B" w:rsidP="002C0E6B">
      <w:pPr>
        <w:pStyle w:val="Default"/>
        <w:spacing w:after="9"/>
        <w:jc w:val="both"/>
        <w:rPr>
          <w:rFonts w:asciiTheme="majorHAnsi" w:hAnsiTheme="majorHAnsi" w:cstheme="majorHAnsi"/>
          <w:color w:val="000000" w:themeColor="text1"/>
        </w:rPr>
      </w:pPr>
    </w:p>
    <w:p w14:paraId="3D4589B1" w14:textId="7DA4126B" w:rsidR="00211A65" w:rsidRDefault="002C0E6B" w:rsidP="00455A9F">
      <w:pPr>
        <w:pStyle w:val="Default"/>
        <w:numPr>
          <w:ilvl w:val="0"/>
          <w:numId w:val="1"/>
        </w:numPr>
        <w:spacing w:after="9"/>
        <w:ind w:left="360"/>
        <w:jc w:val="both"/>
      </w:pPr>
      <w:r w:rsidRPr="00754C50">
        <w:rPr>
          <w:rFonts w:asciiTheme="majorHAnsi" w:hAnsiTheme="majorHAnsi" w:cstheme="majorHAnsi"/>
          <w:color w:val="000000" w:themeColor="text1"/>
        </w:rPr>
        <w:t>Schools</w:t>
      </w:r>
      <w:r>
        <w:rPr>
          <w:rFonts w:asciiTheme="majorHAnsi" w:hAnsiTheme="majorHAnsi" w:cstheme="majorHAnsi"/>
          <w:color w:val="000000" w:themeColor="text1"/>
        </w:rPr>
        <w:t xml:space="preserve"> and initiatives</w:t>
      </w:r>
      <w:r w:rsidRPr="00754C50">
        <w:rPr>
          <w:rFonts w:asciiTheme="majorHAnsi" w:hAnsiTheme="majorHAnsi" w:cstheme="majorHAnsi"/>
          <w:color w:val="000000" w:themeColor="text1"/>
        </w:rPr>
        <w:t xml:space="preserve"> receiving the largest amount of aid </w:t>
      </w:r>
      <w:r>
        <w:rPr>
          <w:rFonts w:asciiTheme="majorHAnsi" w:hAnsiTheme="majorHAnsi" w:cstheme="majorHAnsi"/>
          <w:color w:val="000000" w:themeColor="text1"/>
        </w:rPr>
        <w:t xml:space="preserve">are </w:t>
      </w:r>
      <w:r w:rsidRPr="00754C50">
        <w:rPr>
          <w:rFonts w:asciiTheme="majorHAnsi" w:hAnsiTheme="majorHAnsi" w:cstheme="majorHAnsi"/>
          <w:color w:val="000000" w:themeColor="text1"/>
        </w:rPr>
        <w:t>prioritized for monitoring purposes as a first step in the risk assessment process. Comprehensive tracking of purchases of goods and services made and distributed to schools will be kept at the Central Level</w:t>
      </w:r>
      <w:r w:rsidR="00072D40">
        <w:rPr>
          <w:rFonts w:asciiTheme="majorHAnsi" w:hAnsiTheme="majorHAnsi" w:cstheme="majorHAnsi"/>
          <w:color w:val="000000" w:themeColor="text1"/>
        </w:rPr>
        <w:t xml:space="preserve"> in the Inventory Module within SIFDE (Financial Information System)</w:t>
      </w:r>
      <w:r w:rsidRPr="00754C50">
        <w:rPr>
          <w:rFonts w:asciiTheme="majorHAnsi" w:hAnsiTheme="majorHAnsi" w:cstheme="majorHAnsi"/>
          <w:color w:val="000000" w:themeColor="text1"/>
        </w:rPr>
        <w:t xml:space="preserve">. </w:t>
      </w:r>
      <w:r w:rsidR="00072D40">
        <w:rPr>
          <w:rFonts w:asciiTheme="majorHAnsi" w:hAnsiTheme="majorHAnsi" w:cstheme="majorHAnsi"/>
          <w:color w:val="000000" w:themeColor="text1"/>
        </w:rPr>
        <w:t>Additionally, the program projects to have a second and more detailed inventory tracking system</w:t>
      </w:r>
      <w:r w:rsidR="00F55429">
        <w:rPr>
          <w:rFonts w:asciiTheme="majorHAnsi" w:hAnsiTheme="majorHAnsi" w:cstheme="majorHAnsi"/>
          <w:color w:val="000000" w:themeColor="text1"/>
        </w:rPr>
        <w:t xml:space="preserve"> as part of one of the initiatives of the Restart program</w:t>
      </w:r>
      <w:r w:rsidR="000F30C4">
        <w:rPr>
          <w:rFonts w:asciiTheme="majorHAnsi" w:hAnsiTheme="majorHAnsi" w:cstheme="majorHAnsi"/>
          <w:color w:val="000000" w:themeColor="text1"/>
        </w:rPr>
        <w:t>, but that was not in place at the time of the selection</w:t>
      </w:r>
      <w:r w:rsidR="00743A0F">
        <w:rPr>
          <w:rFonts w:asciiTheme="majorHAnsi" w:hAnsiTheme="majorHAnsi" w:cstheme="majorHAnsi"/>
          <w:color w:val="000000" w:themeColor="text1"/>
        </w:rPr>
        <w:t xml:space="preserve"> of schools</w:t>
      </w:r>
      <w:r w:rsidR="00F55429">
        <w:rPr>
          <w:rFonts w:asciiTheme="majorHAnsi" w:hAnsiTheme="majorHAnsi" w:cstheme="majorHAnsi"/>
          <w:color w:val="000000" w:themeColor="text1"/>
        </w:rPr>
        <w:t>.</w:t>
      </w:r>
      <w:r w:rsidR="00072D40" w:rsidRPr="00754C50">
        <w:rPr>
          <w:rFonts w:asciiTheme="majorHAnsi" w:hAnsiTheme="majorHAnsi" w:cstheme="majorHAnsi"/>
          <w:color w:val="000000" w:themeColor="text1"/>
        </w:rPr>
        <w:t xml:space="preserve"> Th</w:t>
      </w:r>
      <w:r w:rsidR="00743A0F">
        <w:rPr>
          <w:rFonts w:asciiTheme="majorHAnsi" w:hAnsiTheme="majorHAnsi" w:cstheme="majorHAnsi"/>
          <w:color w:val="000000" w:themeColor="text1"/>
        </w:rPr>
        <w:t>e</w:t>
      </w:r>
      <w:r w:rsidRPr="00754C50">
        <w:rPr>
          <w:rFonts w:asciiTheme="majorHAnsi" w:hAnsiTheme="majorHAnsi" w:cstheme="majorHAnsi"/>
          <w:color w:val="000000" w:themeColor="text1"/>
        </w:rPr>
        <w:t xml:space="preserve"> reporting will allow for </w:t>
      </w:r>
      <w:r w:rsidR="00CE644F">
        <w:rPr>
          <w:rFonts w:asciiTheme="majorHAnsi" w:hAnsiTheme="majorHAnsi" w:cstheme="majorHAnsi"/>
          <w:color w:val="000000" w:themeColor="text1"/>
        </w:rPr>
        <w:t>simplified</w:t>
      </w:r>
      <w:r w:rsidR="00CE644F" w:rsidRPr="00754C50">
        <w:rPr>
          <w:rFonts w:asciiTheme="majorHAnsi" w:hAnsiTheme="majorHAnsi" w:cstheme="majorHAnsi"/>
          <w:color w:val="000000" w:themeColor="text1"/>
        </w:rPr>
        <w:t xml:space="preserve"> </w:t>
      </w:r>
      <w:r w:rsidRPr="00754C50">
        <w:rPr>
          <w:rFonts w:asciiTheme="majorHAnsi" w:hAnsiTheme="majorHAnsi" w:cstheme="majorHAnsi"/>
          <w:color w:val="000000" w:themeColor="text1"/>
        </w:rPr>
        <w:t>sorting and filtering of the amount of aid provided by school.</w:t>
      </w:r>
    </w:p>
    <w:p w14:paraId="2FC01B2D" w14:textId="77777777" w:rsidR="00211A65" w:rsidRPr="00754C50" w:rsidRDefault="00211A65" w:rsidP="006D48C8">
      <w:pPr>
        <w:pStyle w:val="Default"/>
        <w:spacing w:after="9"/>
        <w:ind w:left="360"/>
        <w:jc w:val="both"/>
        <w:rPr>
          <w:rFonts w:asciiTheme="majorHAnsi" w:hAnsiTheme="majorHAnsi" w:cstheme="majorHAnsi"/>
          <w:color w:val="000000" w:themeColor="text1"/>
        </w:rPr>
      </w:pPr>
    </w:p>
    <w:p w14:paraId="77DF58F2" w14:textId="77777777" w:rsidR="002C0E6B" w:rsidRDefault="002C0E6B" w:rsidP="00342E9E">
      <w:pPr>
        <w:pStyle w:val="Default"/>
        <w:numPr>
          <w:ilvl w:val="0"/>
          <w:numId w:val="1"/>
        </w:numPr>
        <w:spacing w:after="9"/>
        <w:ind w:left="360"/>
        <w:jc w:val="both"/>
        <w:rPr>
          <w:rFonts w:asciiTheme="majorHAnsi" w:hAnsiTheme="majorHAnsi" w:cstheme="majorBidi"/>
          <w:color w:val="000000" w:themeColor="text1"/>
        </w:rPr>
      </w:pPr>
      <w:r w:rsidRPr="00754C50">
        <w:rPr>
          <w:rFonts w:asciiTheme="majorHAnsi" w:hAnsiTheme="majorHAnsi" w:cstheme="majorBidi"/>
          <w:color w:val="000000" w:themeColor="text1"/>
        </w:rPr>
        <w:t xml:space="preserve">Next, the selection of schools to be monitored will be a </w:t>
      </w:r>
      <w:r w:rsidRPr="00C539FD">
        <w:rPr>
          <w:rFonts w:asciiTheme="majorHAnsi" w:hAnsiTheme="majorHAnsi" w:cstheme="majorBidi"/>
          <w:color w:val="auto"/>
        </w:rPr>
        <w:t xml:space="preserve">statistical </w:t>
      </w:r>
      <w:r w:rsidRPr="00754C50">
        <w:rPr>
          <w:rFonts w:asciiTheme="majorHAnsi" w:hAnsiTheme="majorHAnsi" w:cstheme="majorBidi"/>
          <w:color w:val="000000" w:themeColor="text1"/>
        </w:rPr>
        <w:t>representative sample of public schools that will also consider:</w:t>
      </w:r>
    </w:p>
    <w:p w14:paraId="4E6446AE" w14:textId="77777777" w:rsidR="002C0E6B" w:rsidRPr="00754C50" w:rsidRDefault="002C0E6B" w:rsidP="002C0E6B">
      <w:pPr>
        <w:pStyle w:val="Default"/>
        <w:spacing w:after="9"/>
        <w:ind w:left="720"/>
        <w:jc w:val="both"/>
        <w:rPr>
          <w:rFonts w:asciiTheme="majorHAnsi" w:hAnsiTheme="majorHAnsi" w:cstheme="majorBidi"/>
          <w:color w:val="000000" w:themeColor="text1"/>
        </w:rPr>
      </w:pPr>
    </w:p>
    <w:p w14:paraId="77F86A55" w14:textId="77777777" w:rsidR="002C0E6B" w:rsidRPr="00754C50" w:rsidRDefault="002C0E6B" w:rsidP="00342E9E">
      <w:pPr>
        <w:pStyle w:val="Default"/>
        <w:numPr>
          <w:ilvl w:val="1"/>
          <w:numId w:val="1"/>
        </w:numPr>
        <w:spacing w:after="9"/>
        <w:ind w:left="720"/>
        <w:jc w:val="both"/>
        <w:rPr>
          <w:rFonts w:asciiTheme="majorHAnsi" w:hAnsiTheme="majorHAnsi" w:cstheme="majorBidi"/>
          <w:color w:val="000000" w:themeColor="text1"/>
        </w:rPr>
      </w:pPr>
      <w:r w:rsidRPr="00754C50">
        <w:rPr>
          <w:rFonts w:asciiTheme="majorHAnsi" w:hAnsiTheme="majorHAnsi" w:cstheme="majorBidi"/>
          <w:color w:val="000000" w:themeColor="text1"/>
        </w:rPr>
        <w:t>Sample across elementary, middle, and secondary schools</w:t>
      </w:r>
    </w:p>
    <w:p w14:paraId="10143904" w14:textId="77777777" w:rsidR="002C0E6B" w:rsidRPr="00754C50" w:rsidRDefault="002C0E6B" w:rsidP="00342E9E">
      <w:pPr>
        <w:pStyle w:val="Default"/>
        <w:numPr>
          <w:ilvl w:val="1"/>
          <w:numId w:val="1"/>
        </w:numPr>
        <w:ind w:left="720"/>
        <w:jc w:val="both"/>
        <w:rPr>
          <w:rFonts w:asciiTheme="majorHAnsi" w:hAnsiTheme="majorHAnsi" w:cstheme="majorHAnsi"/>
          <w:color w:val="000000" w:themeColor="text1"/>
        </w:rPr>
      </w:pPr>
      <w:r w:rsidRPr="00754C50">
        <w:rPr>
          <w:rFonts w:asciiTheme="majorHAnsi" w:hAnsiTheme="majorHAnsi" w:cstheme="majorHAnsi"/>
          <w:color w:val="000000" w:themeColor="text1"/>
        </w:rPr>
        <w:t>Enrollment/Size</w:t>
      </w:r>
    </w:p>
    <w:p w14:paraId="72DC04EC" w14:textId="07228801" w:rsidR="002C0E6B" w:rsidRPr="00754C50" w:rsidRDefault="002C0E6B" w:rsidP="00342E9E">
      <w:pPr>
        <w:pStyle w:val="Default"/>
        <w:numPr>
          <w:ilvl w:val="1"/>
          <w:numId w:val="1"/>
        </w:numPr>
        <w:ind w:left="720"/>
        <w:jc w:val="both"/>
        <w:rPr>
          <w:rFonts w:asciiTheme="majorHAnsi" w:hAnsiTheme="majorHAnsi" w:cstheme="majorHAnsi"/>
          <w:color w:val="000000" w:themeColor="text1"/>
        </w:rPr>
      </w:pPr>
      <w:r w:rsidRPr="00754C50">
        <w:rPr>
          <w:rFonts w:asciiTheme="majorHAnsi" w:hAnsiTheme="majorHAnsi" w:cstheme="majorHAnsi"/>
          <w:color w:val="000000" w:themeColor="text1"/>
        </w:rPr>
        <w:t>Level of impact of hurricanes</w:t>
      </w:r>
    </w:p>
    <w:p w14:paraId="7DB5D3F5" w14:textId="77777777" w:rsidR="002C0E6B" w:rsidRPr="00754C50" w:rsidRDefault="002C0E6B" w:rsidP="00342E9E">
      <w:pPr>
        <w:pStyle w:val="Default"/>
        <w:numPr>
          <w:ilvl w:val="1"/>
          <w:numId w:val="1"/>
        </w:numPr>
        <w:ind w:left="720"/>
        <w:jc w:val="both"/>
        <w:rPr>
          <w:rFonts w:asciiTheme="majorHAnsi" w:hAnsiTheme="majorHAnsi" w:cstheme="majorHAnsi"/>
          <w:color w:val="000000" w:themeColor="text1"/>
        </w:rPr>
      </w:pPr>
      <w:r w:rsidRPr="00754C50">
        <w:rPr>
          <w:rFonts w:asciiTheme="majorHAnsi" w:hAnsiTheme="majorHAnsi" w:cstheme="majorHAnsi"/>
          <w:color w:val="000000" w:themeColor="text1"/>
        </w:rPr>
        <w:t xml:space="preserve">Tenure of leadership </w:t>
      </w:r>
    </w:p>
    <w:p w14:paraId="39177D2D" w14:textId="77777777" w:rsidR="002C0E6B" w:rsidRDefault="002C0E6B" w:rsidP="00342E9E">
      <w:pPr>
        <w:pStyle w:val="Default"/>
        <w:numPr>
          <w:ilvl w:val="1"/>
          <w:numId w:val="1"/>
        </w:numPr>
        <w:ind w:left="720"/>
        <w:jc w:val="both"/>
        <w:rPr>
          <w:rFonts w:asciiTheme="majorHAnsi" w:hAnsiTheme="majorHAnsi" w:cstheme="majorHAnsi"/>
          <w:color w:val="000000" w:themeColor="text1"/>
        </w:rPr>
      </w:pPr>
      <w:r w:rsidRPr="00754C50">
        <w:rPr>
          <w:rFonts w:asciiTheme="majorHAnsi" w:hAnsiTheme="majorHAnsi" w:cstheme="majorHAnsi"/>
          <w:color w:val="000000" w:themeColor="text1"/>
        </w:rPr>
        <w:t>Other elements as PRDE understands appropriate</w:t>
      </w:r>
    </w:p>
    <w:p w14:paraId="5529FE6A" w14:textId="77777777" w:rsidR="009C0440" w:rsidRDefault="009C0440" w:rsidP="009C0440">
      <w:pPr>
        <w:pStyle w:val="Default"/>
        <w:jc w:val="both"/>
        <w:rPr>
          <w:rFonts w:asciiTheme="majorHAnsi" w:hAnsiTheme="majorHAnsi" w:cstheme="majorHAnsi"/>
          <w:color w:val="000000" w:themeColor="text1"/>
        </w:rPr>
      </w:pPr>
    </w:p>
    <w:p w14:paraId="471204E5" w14:textId="77777777" w:rsidR="009C0440" w:rsidRPr="008E0044" w:rsidRDefault="009C0440" w:rsidP="009C0440">
      <w:pPr>
        <w:ind w:left="360"/>
        <w:rPr>
          <w:rFonts w:asciiTheme="majorHAnsi" w:hAnsiTheme="majorHAnsi" w:cstheme="majorHAnsi"/>
          <w:color w:val="000000" w:themeColor="text1"/>
        </w:rPr>
      </w:pPr>
      <w:r w:rsidRPr="008E0044">
        <w:rPr>
          <w:rFonts w:asciiTheme="majorHAnsi" w:hAnsiTheme="majorHAnsi" w:cstheme="majorHAnsi"/>
          <w:color w:val="000000" w:themeColor="text1"/>
        </w:rPr>
        <w:t>Schools receiving the largest amount of aid, and those recommended for visit were selected by Region.</w:t>
      </w:r>
      <w:r w:rsidR="004830A4">
        <w:rPr>
          <w:rFonts w:asciiTheme="majorHAnsi" w:hAnsiTheme="majorHAnsi" w:cstheme="majorHAnsi"/>
          <w:color w:val="000000" w:themeColor="text1"/>
        </w:rPr>
        <w:t xml:space="preserve"> </w:t>
      </w:r>
      <w:r w:rsidR="004830A4" w:rsidRPr="000B44EE">
        <w:rPr>
          <w:rFonts w:asciiTheme="majorHAnsi" w:hAnsiTheme="majorHAnsi" w:cstheme="majorHAnsi"/>
          <w:i/>
          <w:color w:val="000000" w:themeColor="text1"/>
        </w:rPr>
        <w:t>*Refer to attached “PRDE Monitoring Schools Analysis” document, which outlines basis of monitoring selection process.</w:t>
      </w:r>
      <w:r w:rsidRPr="008E0044">
        <w:rPr>
          <w:rFonts w:asciiTheme="majorHAnsi" w:hAnsiTheme="majorHAnsi" w:cstheme="majorHAnsi"/>
          <w:color w:val="000000" w:themeColor="text1"/>
        </w:rPr>
        <w:t xml:space="preserve">  </w:t>
      </w:r>
    </w:p>
    <w:p w14:paraId="19529D9C" w14:textId="77777777" w:rsidR="009C0440" w:rsidRPr="008E0044" w:rsidRDefault="009C0440" w:rsidP="009C0440">
      <w:pPr>
        <w:rPr>
          <w:rFonts w:asciiTheme="majorHAnsi" w:hAnsiTheme="majorHAnsi" w:cstheme="majorHAnsi"/>
          <w:color w:val="000000" w:themeColor="text1"/>
        </w:rPr>
      </w:pPr>
    </w:p>
    <w:tbl>
      <w:tblPr>
        <w:tblStyle w:val="TableGrid"/>
        <w:tblW w:w="7735" w:type="dxa"/>
        <w:tblInd w:w="607" w:type="dxa"/>
        <w:tblLook w:val="04A0" w:firstRow="1" w:lastRow="0" w:firstColumn="1" w:lastColumn="0" w:noHBand="0" w:noVBand="1"/>
      </w:tblPr>
      <w:tblGrid>
        <w:gridCol w:w="891"/>
        <w:gridCol w:w="923"/>
        <w:gridCol w:w="2341"/>
        <w:gridCol w:w="2286"/>
        <w:gridCol w:w="1294"/>
      </w:tblGrid>
      <w:tr w:rsidR="009C0440" w14:paraId="22B8CD18" w14:textId="77777777" w:rsidTr="000F30C4">
        <w:tc>
          <w:tcPr>
            <w:tcW w:w="891" w:type="dxa"/>
          </w:tcPr>
          <w:p w14:paraId="11752A0A" w14:textId="77777777" w:rsidR="009C0440" w:rsidRPr="000C2E17" w:rsidRDefault="009C0440" w:rsidP="007A318E">
            <w:pPr>
              <w:jc w:val="center"/>
            </w:pPr>
            <w:r w:rsidRPr="000C2E17">
              <w:t>Region</w:t>
            </w:r>
          </w:p>
        </w:tc>
        <w:tc>
          <w:tcPr>
            <w:tcW w:w="923" w:type="dxa"/>
            <w:tcBorders>
              <w:bottom w:val="single" w:sz="4" w:space="0" w:color="auto"/>
            </w:tcBorders>
          </w:tcPr>
          <w:p w14:paraId="56DA763B" w14:textId="77777777" w:rsidR="009C0440" w:rsidRPr="000C2E17" w:rsidRDefault="009C0440" w:rsidP="007A318E">
            <w:pPr>
              <w:jc w:val="center"/>
            </w:pPr>
            <w:r w:rsidRPr="000C2E17">
              <w:t>Code</w:t>
            </w:r>
          </w:p>
        </w:tc>
        <w:tc>
          <w:tcPr>
            <w:tcW w:w="2341" w:type="dxa"/>
            <w:tcBorders>
              <w:bottom w:val="single" w:sz="4" w:space="0" w:color="auto"/>
            </w:tcBorders>
          </w:tcPr>
          <w:p w14:paraId="15F6A2E8" w14:textId="77777777" w:rsidR="009C0440" w:rsidRPr="000C2E17" w:rsidRDefault="009C0440" w:rsidP="007A318E">
            <w:pPr>
              <w:jc w:val="center"/>
            </w:pPr>
            <w:r w:rsidRPr="000C2E17">
              <w:t>School</w:t>
            </w:r>
          </w:p>
        </w:tc>
        <w:tc>
          <w:tcPr>
            <w:tcW w:w="2286" w:type="dxa"/>
            <w:tcBorders>
              <w:bottom w:val="single" w:sz="4" w:space="0" w:color="auto"/>
            </w:tcBorders>
          </w:tcPr>
          <w:p w14:paraId="31D46038" w14:textId="77777777" w:rsidR="009C0440" w:rsidRPr="000C2E17" w:rsidRDefault="009C0440" w:rsidP="007A318E">
            <w:pPr>
              <w:jc w:val="center"/>
            </w:pPr>
            <w:r w:rsidRPr="000C2E17">
              <w:t>Level</w:t>
            </w:r>
          </w:p>
        </w:tc>
        <w:tc>
          <w:tcPr>
            <w:tcW w:w="1294" w:type="dxa"/>
            <w:tcBorders>
              <w:bottom w:val="single" w:sz="4" w:space="0" w:color="auto"/>
            </w:tcBorders>
          </w:tcPr>
          <w:p w14:paraId="3B7C1830" w14:textId="77777777" w:rsidR="009C0440" w:rsidRPr="000C2E17" w:rsidRDefault="009C0440" w:rsidP="007A318E">
            <w:pPr>
              <w:jc w:val="center"/>
            </w:pPr>
            <w:r w:rsidRPr="000C2E17">
              <w:t>Funds</w:t>
            </w:r>
          </w:p>
        </w:tc>
      </w:tr>
      <w:tr w:rsidR="009C0440" w14:paraId="32091E6A" w14:textId="77777777" w:rsidTr="000F30C4">
        <w:tc>
          <w:tcPr>
            <w:tcW w:w="891" w:type="dxa"/>
            <w:vMerge w:val="restart"/>
            <w:textDirection w:val="btLr"/>
            <w:vAlign w:val="center"/>
          </w:tcPr>
          <w:p w14:paraId="26A0DB86" w14:textId="77777777" w:rsidR="009C0440" w:rsidRPr="000C2E17" w:rsidRDefault="009C0440" w:rsidP="007A318E">
            <w:pPr>
              <w:ind w:left="113" w:right="113"/>
              <w:jc w:val="center"/>
              <w:rPr>
                <w:rFonts w:ascii="Arial Narrow" w:hAnsi="Arial Narrow"/>
              </w:rPr>
            </w:pPr>
            <w:r w:rsidRPr="000C2E17">
              <w:rPr>
                <w:rFonts w:ascii="Arial Narrow" w:hAnsi="Arial Narrow"/>
              </w:rPr>
              <w:t>Are</w:t>
            </w:r>
          </w:p>
        </w:tc>
        <w:tc>
          <w:tcPr>
            <w:tcW w:w="923" w:type="dxa"/>
            <w:tcBorders>
              <w:bottom w:val="dashSmallGap" w:sz="4" w:space="0" w:color="auto"/>
            </w:tcBorders>
            <w:vAlign w:val="bottom"/>
          </w:tcPr>
          <w:p w14:paraId="04127A4D" w14:textId="77777777" w:rsidR="009C0440" w:rsidRPr="00C80DBF" w:rsidRDefault="009C0440" w:rsidP="007A318E">
            <w:pPr>
              <w:jc w:val="center"/>
              <w:rPr>
                <w:rFonts w:ascii="Calibri" w:eastAsia="Times New Roman" w:hAnsi="Calibri" w:cs="Calibri"/>
                <w:color w:val="000000"/>
              </w:rPr>
            </w:pPr>
            <w:r w:rsidRPr="00C80DBF">
              <w:rPr>
                <w:rFonts w:ascii="Calibri" w:eastAsia="Times New Roman" w:hAnsi="Calibri" w:cs="Calibri"/>
                <w:color w:val="000000"/>
              </w:rPr>
              <w:t>17558</w:t>
            </w:r>
          </w:p>
        </w:tc>
        <w:tc>
          <w:tcPr>
            <w:tcW w:w="2341" w:type="dxa"/>
            <w:tcBorders>
              <w:bottom w:val="dashSmallGap" w:sz="4" w:space="0" w:color="auto"/>
            </w:tcBorders>
            <w:vAlign w:val="bottom"/>
          </w:tcPr>
          <w:p w14:paraId="53EA8E8C" w14:textId="77777777" w:rsidR="009C0440" w:rsidRPr="00C80DBF" w:rsidRDefault="009C0440" w:rsidP="007A318E">
            <w:pPr>
              <w:pStyle w:val="ListParagraph"/>
              <w:numPr>
                <w:ilvl w:val="0"/>
                <w:numId w:val="25"/>
              </w:numPr>
              <w:ind w:left="331" w:hanging="331"/>
              <w:rPr>
                <w:rFonts w:ascii="Calibri" w:eastAsia="Times New Roman" w:hAnsi="Calibri" w:cs="Calibri"/>
                <w:color w:val="000000"/>
                <w:sz w:val="20"/>
                <w:szCs w:val="20"/>
              </w:rPr>
            </w:pPr>
            <w:r w:rsidRPr="00C80DBF">
              <w:rPr>
                <w:rFonts w:ascii="Calibri" w:eastAsia="Times New Roman" w:hAnsi="Calibri" w:cs="Calibri"/>
                <w:color w:val="000000"/>
                <w:sz w:val="20"/>
                <w:szCs w:val="20"/>
              </w:rPr>
              <w:t>SUPERIOR VOCACIONAL</w:t>
            </w:r>
          </w:p>
        </w:tc>
        <w:tc>
          <w:tcPr>
            <w:tcW w:w="2286" w:type="dxa"/>
            <w:tcBorders>
              <w:bottom w:val="dashSmallGap" w:sz="4" w:space="0" w:color="auto"/>
            </w:tcBorders>
            <w:vAlign w:val="bottom"/>
          </w:tcPr>
          <w:p w14:paraId="686B8200" w14:textId="77777777" w:rsidR="009C0440" w:rsidRPr="00C80DBF" w:rsidRDefault="009C0440" w:rsidP="007A318E">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SECONDARY</w:t>
            </w:r>
          </w:p>
        </w:tc>
        <w:tc>
          <w:tcPr>
            <w:tcW w:w="1294" w:type="dxa"/>
            <w:tcBorders>
              <w:bottom w:val="dashSmallGap" w:sz="4" w:space="0" w:color="auto"/>
            </w:tcBorders>
            <w:vAlign w:val="bottom"/>
          </w:tcPr>
          <w:p w14:paraId="7F671E7A" w14:textId="77777777" w:rsidR="009C0440" w:rsidRPr="00C80DBF" w:rsidRDefault="009C0440" w:rsidP="007A318E">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304,661.41</w:t>
            </w:r>
          </w:p>
        </w:tc>
      </w:tr>
      <w:tr w:rsidR="009C0440" w14:paraId="19B61220" w14:textId="77777777" w:rsidTr="000F30C4">
        <w:tc>
          <w:tcPr>
            <w:tcW w:w="891" w:type="dxa"/>
            <w:vMerge/>
            <w:vAlign w:val="center"/>
          </w:tcPr>
          <w:p w14:paraId="22E09829" w14:textId="77777777" w:rsidR="009C0440" w:rsidRPr="000C2E17" w:rsidRDefault="009C0440" w:rsidP="007A318E">
            <w:pPr>
              <w:jc w:val="center"/>
              <w:rPr>
                <w:rFonts w:ascii="Arial Narrow" w:hAnsi="Arial Narrow"/>
              </w:rPr>
            </w:pPr>
          </w:p>
        </w:tc>
        <w:tc>
          <w:tcPr>
            <w:tcW w:w="923" w:type="dxa"/>
            <w:tcBorders>
              <w:top w:val="dashSmallGap" w:sz="4" w:space="0" w:color="auto"/>
              <w:bottom w:val="dashSmallGap" w:sz="4" w:space="0" w:color="auto"/>
            </w:tcBorders>
            <w:vAlign w:val="bottom"/>
          </w:tcPr>
          <w:p w14:paraId="1D3A1398" w14:textId="77777777" w:rsidR="009C0440" w:rsidRPr="00C80DBF" w:rsidRDefault="009C0440" w:rsidP="007A318E">
            <w:pPr>
              <w:jc w:val="center"/>
              <w:rPr>
                <w:rFonts w:ascii="Calibri" w:eastAsia="Times New Roman" w:hAnsi="Calibri" w:cs="Calibri"/>
                <w:color w:val="000000"/>
              </w:rPr>
            </w:pPr>
            <w:r w:rsidRPr="00C80DBF">
              <w:rPr>
                <w:rFonts w:ascii="Calibri" w:eastAsia="Times New Roman" w:hAnsi="Calibri" w:cs="Calibri"/>
                <w:color w:val="000000"/>
              </w:rPr>
              <w:t>13912</w:t>
            </w:r>
          </w:p>
        </w:tc>
        <w:tc>
          <w:tcPr>
            <w:tcW w:w="2341" w:type="dxa"/>
            <w:tcBorders>
              <w:top w:val="dashSmallGap" w:sz="4" w:space="0" w:color="auto"/>
              <w:bottom w:val="dashSmallGap" w:sz="4" w:space="0" w:color="auto"/>
            </w:tcBorders>
            <w:vAlign w:val="bottom"/>
          </w:tcPr>
          <w:p w14:paraId="580E789F" w14:textId="77777777" w:rsidR="009C0440" w:rsidRPr="00C80DBF" w:rsidRDefault="009C0440" w:rsidP="007A318E">
            <w:pPr>
              <w:pStyle w:val="ListParagraph"/>
              <w:numPr>
                <w:ilvl w:val="0"/>
                <w:numId w:val="25"/>
              </w:numPr>
              <w:ind w:left="331" w:hanging="331"/>
              <w:rPr>
                <w:rFonts w:ascii="Calibri" w:eastAsia="Times New Roman" w:hAnsi="Calibri" w:cs="Calibri"/>
                <w:color w:val="000000"/>
                <w:sz w:val="20"/>
                <w:szCs w:val="20"/>
              </w:rPr>
            </w:pPr>
            <w:r w:rsidRPr="00C80DBF">
              <w:rPr>
                <w:rFonts w:ascii="Calibri" w:eastAsia="Times New Roman" w:hAnsi="Calibri" w:cs="Calibri"/>
                <w:color w:val="000000"/>
                <w:sz w:val="20"/>
                <w:szCs w:val="20"/>
              </w:rPr>
              <w:t>BRIGIDA ALVAREZ RODRIGZ</w:t>
            </w:r>
          </w:p>
        </w:tc>
        <w:tc>
          <w:tcPr>
            <w:tcW w:w="2286" w:type="dxa"/>
            <w:tcBorders>
              <w:top w:val="dashSmallGap" w:sz="4" w:space="0" w:color="auto"/>
              <w:bottom w:val="dashSmallGap" w:sz="4" w:space="0" w:color="auto"/>
            </w:tcBorders>
            <w:vAlign w:val="bottom"/>
          </w:tcPr>
          <w:p w14:paraId="3E3653C3" w14:textId="77777777" w:rsidR="009C0440" w:rsidRPr="00C80DBF" w:rsidRDefault="009C0440" w:rsidP="007A318E">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ALL</w:t>
            </w:r>
          </w:p>
        </w:tc>
        <w:tc>
          <w:tcPr>
            <w:tcW w:w="1294" w:type="dxa"/>
            <w:tcBorders>
              <w:top w:val="dashSmallGap" w:sz="4" w:space="0" w:color="auto"/>
              <w:bottom w:val="dashSmallGap" w:sz="4" w:space="0" w:color="auto"/>
            </w:tcBorders>
            <w:vAlign w:val="bottom"/>
          </w:tcPr>
          <w:p w14:paraId="45383E2D" w14:textId="77777777" w:rsidR="009C0440" w:rsidRPr="00C80DBF" w:rsidRDefault="009C0440" w:rsidP="007A318E">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286,521.97</w:t>
            </w:r>
          </w:p>
        </w:tc>
      </w:tr>
      <w:tr w:rsidR="009C0440" w14:paraId="2E062211" w14:textId="77777777" w:rsidTr="000F30C4">
        <w:tc>
          <w:tcPr>
            <w:tcW w:w="891" w:type="dxa"/>
            <w:vMerge/>
            <w:vAlign w:val="center"/>
          </w:tcPr>
          <w:p w14:paraId="78E21DED" w14:textId="77777777" w:rsidR="009C0440" w:rsidRPr="000C2E17" w:rsidRDefault="009C0440" w:rsidP="007A318E">
            <w:pPr>
              <w:jc w:val="center"/>
              <w:rPr>
                <w:rFonts w:ascii="Arial Narrow" w:hAnsi="Arial Narrow"/>
              </w:rPr>
            </w:pPr>
          </w:p>
        </w:tc>
        <w:tc>
          <w:tcPr>
            <w:tcW w:w="923" w:type="dxa"/>
            <w:tcBorders>
              <w:top w:val="dashSmallGap" w:sz="4" w:space="0" w:color="auto"/>
              <w:bottom w:val="single" w:sz="4" w:space="0" w:color="auto"/>
            </w:tcBorders>
            <w:vAlign w:val="bottom"/>
          </w:tcPr>
          <w:p w14:paraId="15A3182B" w14:textId="77777777" w:rsidR="009C0440" w:rsidRPr="00C80DBF" w:rsidRDefault="009C0440" w:rsidP="007A318E">
            <w:pPr>
              <w:jc w:val="center"/>
              <w:rPr>
                <w:rFonts w:ascii="Calibri" w:eastAsia="Times New Roman" w:hAnsi="Calibri" w:cs="Calibri"/>
                <w:color w:val="000000"/>
              </w:rPr>
            </w:pPr>
            <w:r w:rsidRPr="00C80DBF">
              <w:rPr>
                <w:rFonts w:ascii="Calibri" w:eastAsia="Times New Roman" w:hAnsi="Calibri" w:cs="Calibri"/>
                <w:color w:val="000000"/>
              </w:rPr>
              <w:t>14241</w:t>
            </w:r>
          </w:p>
        </w:tc>
        <w:tc>
          <w:tcPr>
            <w:tcW w:w="2341" w:type="dxa"/>
            <w:tcBorders>
              <w:top w:val="dashSmallGap" w:sz="4" w:space="0" w:color="auto"/>
              <w:bottom w:val="single" w:sz="4" w:space="0" w:color="auto"/>
            </w:tcBorders>
            <w:vAlign w:val="bottom"/>
          </w:tcPr>
          <w:p w14:paraId="2CE2E1E5" w14:textId="77777777" w:rsidR="009C0440" w:rsidRPr="00C80DBF" w:rsidRDefault="009C0440" w:rsidP="007A318E">
            <w:pPr>
              <w:pStyle w:val="ListParagraph"/>
              <w:numPr>
                <w:ilvl w:val="0"/>
                <w:numId w:val="25"/>
              </w:numPr>
              <w:ind w:left="331" w:hanging="331"/>
              <w:rPr>
                <w:rFonts w:ascii="Calibri" w:eastAsia="Times New Roman" w:hAnsi="Calibri" w:cs="Calibri"/>
                <w:color w:val="000000"/>
                <w:sz w:val="20"/>
                <w:szCs w:val="20"/>
              </w:rPr>
            </w:pPr>
            <w:r w:rsidRPr="00C80DBF">
              <w:rPr>
                <w:rFonts w:ascii="Calibri" w:eastAsia="Times New Roman" w:hAnsi="Calibri" w:cs="Calibri"/>
                <w:color w:val="000000"/>
                <w:sz w:val="20"/>
                <w:szCs w:val="20"/>
              </w:rPr>
              <w:t>TRINA PADILLA DE SANZ</w:t>
            </w:r>
          </w:p>
        </w:tc>
        <w:tc>
          <w:tcPr>
            <w:tcW w:w="2286" w:type="dxa"/>
            <w:tcBorders>
              <w:top w:val="dashSmallGap" w:sz="4" w:space="0" w:color="auto"/>
              <w:bottom w:val="single" w:sz="4" w:space="0" w:color="auto"/>
            </w:tcBorders>
            <w:vAlign w:val="bottom"/>
          </w:tcPr>
          <w:p w14:paraId="1700D17B" w14:textId="77777777" w:rsidR="009C0440" w:rsidRPr="00C80DBF" w:rsidRDefault="009C0440" w:rsidP="007A318E">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ALL</w:t>
            </w:r>
          </w:p>
        </w:tc>
        <w:tc>
          <w:tcPr>
            <w:tcW w:w="1294" w:type="dxa"/>
            <w:tcBorders>
              <w:top w:val="dashSmallGap" w:sz="4" w:space="0" w:color="auto"/>
              <w:bottom w:val="single" w:sz="4" w:space="0" w:color="auto"/>
            </w:tcBorders>
            <w:vAlign w:val="bottom"/>
          </w:tcPr>
          <w:p w14:paraId="15711382" w14:textId="77777777" w:rsidR="009C0440" w:rsidRPr="00C80DBF" w:rsidRDefault="009C0440" w:rsidP="007A318E">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262,920.06</w:t>
            </w:r>
          </w:p>
        </w:tc>
      </w:tr>
      <w:tr w:rsidR="009C0440" w14:paraId="26F14050" w14:textId="77777777" w:rsidTr="000F30C4">
        <w:tc>
          <w:tcPr>
            <w:tcW w:w="891" w:type="dxa"/>
            <w:vMerge w:val="restart"/>
            <w:textDirection w:val="btLr"/>
            <w:vAlign w:val="center"/>
          </w:tcPr>
          <w:p w14:paraId="3C55B6B9" w14:textId="77777777" w:rsidR="009C0440" w:rsidRPr="000C2E17" w:rsidRDefault="009C0440" w:rsidP="007A318E">
            <w:pPr>
              <w:ind w:left="113" w:right="113"/>
              <w:jc w:val="center"/>
              <w:rPr>
                <w:rFonts w:ascii="Arial Narrow" w:hAnsi="Arial Narrow"/>
              </w:rPr>
            </w:pPr>
            <w:r w:rsidRPr="000C2E17">
              <w:rPr>
                <w:rFonts w:ascii="Arial Narrow" w:hAnsi="Arial Narrow"/>
              </w:rPr>
              <w:t>Bay</w:t>
            </w:r>
          </w:p>
        </w:tc>
        <w:tc>
          <w:tcPr>
            <w:tcW w:w="923" w:type="dxa"/>
            <w:tcBorders>
              <w:bottom w:val="dashSmallGap" w:sz="4" w:space="0" w:color="auto"/>
            </w:tcBorders>
            <w:vAlign w:val="bottom"/>
          </w:tcPr>
          <w:p w14:paraId="3F4FBB29" w14:textId="77777777" w:rsidR="009C0440" w:rsidRPr="00C80DBF" w:rsidRDefault="009C0440" w:rsidP="007A318E">
            <w:pPr>
              <w:jc w:val="center"/>
              <w:rPr>
                <w:rFonts w:ascii="Calibri" w:hAnsi="Calibri" w:cs="Calibri"/>
                <w:color w:val="000000"/>
              </w:rPr>
            </w:pPr>
            <w:r w:rsidRPr="00C80DBF">
              <w:rPr>
                <w:rFonts w:ascii="Calibri" w:hAnsi="Calibri" w:cs="Calibri"/>
                <w:color w:val="000000"/>
              </w:rPr>
              <w:t>71381</w:t>
            </w:r>
          </w:p>
        </w:tc>
        <w:tc>
          <w:tcPr>
            <w:tcW w:w="2341" w:type="dxa"/>
            <w:tcBorders>
              <w:bottom w:val="dashSmallGap" w:sz="4" w:space="0" w:color="auto"/>
            </w:tcBorders>
            <w:vAlign w:val="bottom"/>
          </w:tcPr>
          <w:p w14:paraId="70CBF992" w14:textId="77777777" w:rsidR="009C0440" w:rsidRPr="00C80DBF" w:rsidRDefault="009C0440" w:rsidP="007A318E">
            <w:pPr>
              <w:pStyle w:val="ListParagraph"/>
              <w:numPr>
                <w:ilvl w:val="0"/>
                <w:numId w:val="25"/>
              </w:numPr>
              <w:ind w:left="331" w:hanging="331"/>
              <w:rPr>
                <w:rFonts w:ascii="Calibri" w:hAnsi="Calibri" w:cs="Calibri"/>
                <w:color w:val="000000"/>
                <w:sz w:val="20"/>
                <w:szCs w:val="20"/>
              </w:rPr>
            </w:pPr>
            <w:r w:rsidRPr="00C80DBF">
              <w:rPr>
                <w:rFonts w:ascii="Calibri" w:hAnsi="Calibri" w:cs="Calibri"/>
                <w:color w:val="000000"/>
                <w:sz w:val="20"/>
                <w:szCs w:val="20"/>
              </w:rPr>
              <w:t>NICOLAS SEVILLA</w:t>
            </w:r>
          </w:p>
        </w:tc>
        <w:tc>
          <w:tcPr>
            <w:tcW w:w="2286" w:type="dxa"/>
            <w:tcBorders>
              <w:bottom w:val="dashSmallGap" w:sz="4" w:space="0" w:color="auto"/>
            </w:tcBorders>
            <w:vAlign w:val="bottom"/>
          </w:tcPr>
          <w:p w14:paraId="5C324289" w14:textId="77777777" w:rsidR="009C0440" w:rsidRPr="00C80DBF" w:rsidRDefault="009C0440" w:rsidP="007A318E">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SECONDARY</w:t>
            </w:r>
          </w:p>
        </w:tc>
        <w:tc>
          <w:tcPr>
            <w:tcW w:w="1294" w:type="dxa"/>
            <w:tcBorders>
              <w:bottom w:val="dashSmallGap" w:sz="4" w:space="0" w:color="auto"/>
            </w:tcBorders>
            <w:vAlign w:val="bottom"/>
          </w:tcPr>
          <w:p w14:paraId="0F2F5C36" w14:textId="77777777" w:rsidR="009C0440" w:rsidRPr="00C80DBF" w:rsidRDefault="009C0440" w:rsidP="007A318E">
            <w:pPr>
              <w:jc w:val="center"/>
              <w:rPr>
                <w:rFonts w:ascii="Calibri" w:hAnsi="Calibri" w:cs="Calibri"/>
                <w:color w:val="000000"/>
                <w:sz w:val="20"/>
                <w:szCs w:val="20"/>
              </w:rPr>
            </w:pPr>
            <w:r w:rsidRPr="00C80DBF">
              <w:rPr>
                <w:rFonts w:ascii="Calibri" w:hAnsi="Calibri" w:cs="Calibri"/>
                <w:color w:val="000000"/>
                <w:sz w:val="20"/>
                <w:szCs w:val="20"/>
              </w:rPr>
              <w:t>251,691.16</w:t>
            </w:r>
          </w:p>
        </w:tc>
      </w:tr>
      <w:tr w:rsidR="009C0440" w14:paraId="58953C96" w14:textId="77777777" w:rsidTr="000F30C4">
        <w:tc>
          <w:tcPr>
            <w:tcW w:w="891" w:type="dxa"/>
            <w:vMerge/>
            <w:vAlign w:val="center"/>
          </w:tcPr>
          <w:p w14:paraId="103CF57D" w14:textId="77777777" w:rsidR="009C0440" w:rsidRPr="000C2E17" w:rsidRDefault="009C0440" w:rsidP="007A318E">
            <w:pPr>
              <w:jc w:val="center"/>
              <w:rPr>
                <w:rFonts w:ascii="Arial Narrow" w:hAnsi="Arial Narrow"/>
              </w:rPr>
            </w:pPr>
          </w:p>
        </w:tc>
        <w:tc>
          <w:tcPr>
            <w:tcW w:w="923" w:type="dxa"/>
            <w:tcBorders>
              <w:top w:val="dashSmallGap" w:sz="4" w:space="0" w:color="auto"/>
              <w:bottom w:val="dashSmallGap" w:sz="4" w:space="0" w:color="auto"/>
            </w:tcBorders>
            <w:vAlign w:val="bottom"/>
          </w:tcPr>
          <w:p w14:paraId="0DA26746" w14:textId="77777777" w:rsidR="009C0440" w:rsidRPr="00C80DBF" w:rsidRDefault="009C0440" w:rsidP="007A318E">
            <w:pPr>
              <w:jc w:val="center"/>
              <w:rPr>
                <w:rFonts w:ascii="Calibri" w:hAnsi="Calibri" w:cs="Calibri"/>
                <w:color w:val="000000"/>
              </w:rPr>
            </w:pPr>
            <w:r w:rsidRPr="00C80DBF">
              <w:rPr>
                <w:rFonts w:ascii="Calibri" w:hAnsi="Calibri" w:cs="Calibri"/>
                <w:color w:val="000000"/>
              </w:rPr>
              <w:t>78857</w:t>
            </w:r>
          </w:p>
        </w:tc>
        <w:tc>
          <w:tcPr>
            <w:tcW w:w="2341" w:type="dxa"/>
            <w:tcBorders>
              <w:top w:val="dashSmallGap" w:sz="4" w:space="0" w:color="auto"/>
              <w:bottom w:val="dashSmallGap" w:sz="4" w:space="0" w:color="auto"/>
            </w:tcBorders>
            <w:vAlign w:val="bottom"/>
          </w:tcPr>
          <w:p w14:paraId="2A609803" w14:textId="77777777" w:rsidR="009C0440" w:rsidRPr="00C80DBF" w:rsidRDefault="009C0440" w:rsidP="007A318E">
            <w:pPr>
              <w:pStyle w:val="ListParagraph"/>
              <w:numPr>
                <w:ilvl w:val="0"/>
                <w:numId w:val="25"/>
              </w:numPr>
              <w:ind w:left="331" w:hanging="331"/>
              <w:rPr>
                <w:rFonts w:ascii="Calibri" w:hAnsi="Calibri" w:cs="Calibri"/>
                <w:color w:val="000000"/>
                <w:sz w:val="20"/>
                <w:szCs w:val="20"/>
              </w:rPr>
            </w:pPr>
            <w:r w:rsidRPr="00C80DBF">
              <w:rPr>
                <w:rFonts w:ascii="Calibri" w:hAnsi="Calibri" w:cs="Calibri"/>
                <w:color w:val="000000"/>
                <w:sz w:val="20"/>
                <w:szCs w:val="20"/>
              </w:rPr>
              <w:t>RUBEN RODRIGZ FIGUEROA</w:t>
            </w:r>
          </w:p>
        </w:tc>
        <w:tc>
          <w:tcPr>
            <w:tcW w:w="2286" w:type="dxa"/>
            <w:tcBorders>
              <w:top w:val="dashSmallGap" w:sz="4" w:space="0" w:color="auto"/>
              <w:bottom w:val="dashSmallGap" w:sz="4" w:space="0" w:color="auto"/>
            </w:tcBorders>
          </w:tcPr>
          <w:p w14:paraId="56B46BAD" w14:textId="77777777" w:rsidR="009C0440" w:rsidRPr="00C80DBF" w:rsidRDefault="009C0440" w:rsidP="00455A9F">
            <w:pPr>
              <w:jc w:val="center"/>
              <w:rPr>
                <w:rFonts w:ascii="Calibri" w:hAnsi="Calibri" w:cs="Calibri"/>
                <w:sz w:val="20"/>
                <w:szCs w:val="20"/>
              </w:rPr>
            </w:pPr>
            <w:r w:rsidRPr="00C80DBF">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vAlign w:val="bottom"/>
          </w:tcPr>
          <w:p w14:paraId="6293BBB7" w14:textId="77777777" w:rsidR="009C0440" w:rsidRPr="00C80DBF" w:rsidRDefault="009C0440" w:rsidP="007A318E">
            <w:pPr>
              <w:jc w:val="center"/>
              <w:rPr>
                <w:rFonts w:ascii="Calibri" w:hAnsi="Calibri" w:cs="Calibri"/>
                <w:color w:val="000000"/>
                <w:sz w:val="20"/>
                <w:szCs w:val="20"/>
              </w:rPr>
            </w:pPr>
            <w:r w:rsidRPr="00C80DBF">
              <w:rPr>
                <w:rFonts w:ascii="Calibri" w:hAnsi="Calibri" w:cs="Calibri"/>
                <w:color w:val="000000"/>
                <w:sz w:val="20"/>
                <w:szCs w:val="20"/>
              </w:rPr>
              <w:t>233,815.28</w:t>
            </w:r>
          </w:p>
        </w:tc>
      </w:tr>
      <w:tr w:rsidR="009C0440" w14:paraId="42C74CA4" w14:textId="77777777" w:rsidTr="000F30C4">
        <w:tc>
          <w:tcPr>
            <w:tcW w:w="891" w:type="dxa"/>
            <w:vMerge/>
            <w:vAlign w:val="center"/>
          </w:tcPr>
          <w:p w14:paraId="70422FEA" w14:textId="77777777" w:rsidR="009C0440" w:rsidRPr="000C2E17" w:rsidRDefault="009C0440" w:rsidP="007A318E">
            <w:pPr>
              <w:jc w:val="center"/>
              <w:rPr>
                <w:rFonts w:ascii="Arial Narrow" w:hAnsi="Arial Narrow"/>
              </w:rPr>
            </w:pPr>
          </w:p>
        </w:tc>
        <w:tc>
          <w:tcPr>
            <w:tcW w:w="923" w:type="dxa"/>
            <w:tcBorders>
              <w:top w:val="dashSmallGap" w:sz="4" w:space="0" w:color="auto"/>
              <w:bottom w:val="single" w:sz="4" w:space="0" w:color="auto"/>
            </w:tcBorders>
            <w:vAlign w:val="bottom"/>
          </w:tcPr>
          <w:p w14:paraId="363513A7" w14:textId="77777777" w:rsidR="009C0440" w:rsidRPr="00C80DBF" w:rsidRDefault="009C0440" w:rsidP="007A318E">
            <w:pPr>
              <w:jc w:val="center"/>
              <w:rPr>
                <w:rFonts w:ascii="Calibri" w:hAnsi="Calibri" w:cs="Calibri"/>
                <w:color w:val="000000"/>
              </w:rPr>
            </w:pPr>
            <w:r w:rsidRPr="00C80DBF">
              <w:rPr>
                <w:rFonts w:ascii="Calibri" w:hAnsi="Calibri" w:cs="Calibri"/>
                <w:color w:val="000000"/>
              </w:rPr>
              <w:t>70813</w:t>
            </w:r>
          </w:p>
        </w:tc>
        <w:tc>
          <w:tcPr>
            <w:tcW w:w="2341" w:type="dxa"/>
            <w:tcBorders>
              <w:top w:val="dashSmallGap" w:sz="4" w:space="0" w:color="auto"/>
              <w:bottom w:val="single" w:sz="4" w:space="0" w:color="auto"/>
            </w:tcBorders>
            <w:vAlign w:val="bottom"/>
          </w:tcPr>
          <w:p w14:paraId="2D3FBA05" w14:textId="77777777" w:rsidR="009C0440" w:rsidRPr="00C80DBF" w:rsidRDefault="009C0440" w:rsidP="007A318E">
            <w:pPr>
              <w:pStyle w:val="ListParagraph"/>
              <w:numPr>
                <w:ilvl w:val="0"/>
                <w:numId w:val="25"/>
              </w:numPr>
              <w:ind w:left="331" w:hanging="331"/>
              <w:rPr>
                <w:rFonts w:ascii="Calibri" w:hAnsi="Calibri" w:cs="Calibri"/>
                <w:color w:val="000000"/>
                <w:sz w:val="20"/>
                <w:szCs w:val="20"/>
              </w:rPr>
            </w:pPr>
            <w:r w:rsidRPr="00C80DBF">
              <w:rPr>
                <w:rFonts w:ascii="Calibri" w:hAnsi="Calibri" w:cs="Calibri"/>
                <w:color w:val="000000"/>
                <w:sz w:val="20"/>
                <w:szCs w:val="20"/>
              </w:rPr>
              <w:t>FRANCISCO OLLER</w:t>
            </w:r>
          </w:p>
        </w:tc>
        <w:tc>
          <w:tcPr>
            <w:tcW w:w="2286" w:type="dxa"/>
            <w:tcBorders>
              <w:top w:val="dashSmallGap" w:sz="4" w:space="0" w:color="auto"/>
              <w:bottom w:val="single" w:sz="4" w:space="0" w:color="auto"/>
            </w:tcBorders>
          </w:tcPr>
          <w:p w14:paraId="00D02F2E" w14:textId="77777777" w:rsidR="009C0440" w:rsidRPr="00C80DBF" w:rsidRDefault="009C0440" w:rsidP="00455A9F">
            <w:pPr>
              <w:jc w:val="center"/>
              <w:rPr>
                <w:rFonts w:ascii="Calibri" w:hAnsi="Calibri" w:cs="Calibri"/>
                <w:sz w:val="20"/>
                <w:szCs w:val="20"/>
              </w:rPr>
            </w:pPr>
            <w:r w:rsidRPr="00C80DBF">
              <w:rPr>
                <w:rFonts w:ascii="Calibri" w:eastAsia="Times New Roman" w:hAnsi="Calibri" w:cs="Calibri"/>
                <w:color w:val="000000"/>
                <w:sz w:val="20"/>
                <w:szCs w:val="20"/>
              </w:rPr>
              <w:t>SECONDARY</w:t>
            </w:r>
          </w:p>
        </w:tc>
        <w:tc>
          <w:tcPr>
            <w:tcW w:w="1294" w:type="dxa"/>
            <w:tcBorders>
              <w:top w:val="dashSmallGap" w:sz="4" w:space="0" w:color="auto"/>
              <w:bottom w:val="single" w:sz="4" w:space="0" w:color="auto"/>
            </w:tcBorders>
            <w:vAlign w:val="bottom"/>
          </w:tcPr>
          <w:p w14:paraId="4DAEB7A0" w14:textId="77777777" w:rsidR="009C0440" w:rsidRPr="00C80DBF" w:rsidRDefault="009C0440" w:rsidP="007A318E">
            <w:pPr>
              <w:jc w:val="center"/>
              <w:rPr>
                <w:rFonts w:ascii="Calibri" w:hAnsi="Calibri" w:cs="Calibri"/>
                <w:color w:val="000000"/>
                <w:sz w:val="20"/>
                <w:szCs w:val="20"/>
              </w:rPr>
            </w:pPr>
            <w:r w:rsidRPr="00C80DBF">
              <w:rPr>
                <w:rFonts w:ascii="Calibri" w:hAnsi="Calibri" w:cs="Calibri"/>
                <w:color w:val="000000"/>
                <w:sz w:val="20"/>
                <w:szCs w:val="20"/>
              </w:rPr>
              <w:t>228,348.13</w:t>
            </w:r>
          </w:p>
        </w:tc>
      </w:tr>
      <w:tr w:rsidR="000F30C4" w14:paraId="5CAC7677" w14:textId="77777777" w:rsidTr="00455A9F">
        <w:tc>
          <w:tcPr>
            <w:tcW w:w="891" w:type="dxa"/>
            <w:vMerge w:val="restart"/>
            <w:textDirection w:val="btLr"/>
            <w:vAlign w:val="center"/>
          </w:tcPr>
          <w:p w14:paraId="72D41ADF" w14:textId="77777777" w:rsidR="000F30C4" w:rsidRPr="000C2E17" w:rsidRDefault="000F30C4" w:rsidP="000F30C4">
            <w:pPr>
              <w:ind w:left="113" w:right="113"/>
              <w:jc w:val="center"/>
              <w:rPr>
                <w:rFonts w:ascii="Arial Narrow" w:hAnsi="Arial Narrow"/>
              </w:rPr>
            </w:pPr>
            <w:r w:rsidRPr="000C2E17">
              <w:rPr>
                <w:rFonts w:ascii="Arial Narrow" w:hAnsi="Arial Narrow"/>
              </w:rPr>
              <w:t>Cag</w:t>
            </w:r>
          </w:p>
        </w:tc>
        <w:tc>
          <w:tcPr>
            <w:tcW w:w="923" w:type="dxa"/>
            <w:tcBorders>
              <w:bottom w:val="dashSmallGap" w:sz="4" w:space="0" w:color="auto"/>
            </w:tcBorders>
            <w:vAlign w:val="bottom"/>
          </w:tcPr>
          <w:p w14:paraId="4E17E169" w14:textId="77777777" w:rsidR="000F30C4" w:rsidRPr="00C80DBF" w:rsidRDefault="000F30C4" w:rsidP="000F30C4">
            <w:pPr>
              <w:jc w:val="center"/>
              <w:rPr>
                <w:rFonts w:ascii="Calibri" w:eastAsia="Times New Roman" w:hAnsi="Calibri" w:cs="Calibri"/>
                <w:color w:val="000000"/>
              </w:rPr>
            </w:pPr>
            <w:r w:rsidRPr="00C80DBF">
              <w:rPr>
                <w:rFonts w:ascii="Calibri" w:eastAsia="Times New Roman" w:hAnsi="Calibri" w:cs="Calibri"/>
                <w:color w:val="000000"/>
              </w:rPr>
              <w:t>57281</w:t>
            </w:r>
          </w:p>
        </w:tc>
        <w:tc>
          <w:tcPr>
            <w:tcW w:w="2341" w:type="dxa"/>
            <w:tcBorders>
              <w:bottom w:val="dashSmallGap" w:sz="4" w:space="0" w:color="auto"/>
            </w:tcBorders>
            <w:vAlign w:val="bottom"/>
          </w:tcPr>
          <w:p w14:paraId="052F517D" w14:textId="77777777" w:rsidR="000F30C4" w:rsidRPr="00C80DBF" w:rsidRDefault="000F30C4" w:rsidP="000F30C4">
            <w:pPr>
              <w:pStyle w:val="ListParagraph"/>
              <w:numPr>
                <w:ilvl w:val="0"/>
                <w:numId w:val="25"/>
              </w:numPr>
              <w:ind w:left="331" w:hanging="331"/>
              <w:rPr>
                <w:rFonts w:ascii="Calibri" w:eastAsia="Times New Roman" w:hAnsi="Calibri" w:cs="Calibri"/>
                <w:color w:val="000000"/>
                <w:sz w:val="20"/>
                <w:szCs w:val="20"/>
              </w:rPr>
            </w:pPr>
            <w:r w:rsidRPr="00C80DBF">
              <w:rPr>
                <w:rFonts w:ascii="Calibri" w:eastAsia="Times New Roman" w:hAnsi="Calibri" w:cs="Calibri"/>
                <w:color w:val="000000"/>
                <w:sz w:val="20"/>
                <w:szCs w:val="20"/>
              </w:rPr>
              <w:t>EUGENIO GUERRA CRUZ</w:t>
            </w:r>
          </w:p>
        </w:tc>
        <w:tc>
          <w:tcPr>
            <w:tcW w:w="2286" w:type="dxa"/>
            <w:tcBorders>
              <w:bottom w:val="dashSmallGap" w:sz="4" w:space="0" w:color="auto"/>
            </w:tcBorders>
          </w:tcPr>
          <w:p w14:paraId="0355E1CF" w14:textId="786FF8AF" w:rsidR="000F30C4" w:rsidRPr="00C80DBF" w:rsidRDefault="000F30C4" w:rsidP="000F30C4">
            <w:pPr>
              <w:jc w:val="center"/>
              <w:rPr>
                <w:rFonts w:ascii="Calibri" w:eastAsia="Times New Roman" w:hAnsi="Calibri" w:cs="Calibri"/>
                <w:color w:val="000000"/>
                <w:sz w:val="20"/>
                <w:szCs w:val="20"/>
              </w:rPr>
            </w:pPr>
            <w:r w:rsidRPr="00803826">
              <w:rPr>
                <w:rFonts w:ascii="Calibri" w:eastAsia="Times New Roman" w:hAnsi="Calibri" w:cs="Calibri"/>
                <w:color w:val="000000"/>
                <w:sz w:val="20"/>
                <w:szCs w:val="20"/>
              </w:rPr>
              <w:t>SECONDARY</w:t>
            </w:r>
          </w:p>
        </w:tc>
        <w:tc>
          <w:tcPr>
            <w:tcW w:w="1294" w:type="dxa"/>
            <w:tcBorders>
              <w:bottom w:val="dashSmallGap" w:sz="4" w:space="0" w:color="auto"/>
            </w:tcBorders>
            <w:vAlign w:val="bottom"/>
          </w:tcPr>
          <w:p w14:paraId="10C47AEC" w14:textId="77777777" w:rsidR="000F30C4" w:rsidRPr="00C80DBF" w:rsidRDefault="000F30C4" w:rsidP="000F30C4">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266,910.05</w:t>
            </w:r>
          </w:p>
        </w:tc>
      </w:tr>
      <w:tr w:rsidR="000F30C4" w14:paraId="6C278036" w14:textId="77777777" w:rsidTr="00455A9F">
        <w:tc>
          <w:tcPr>
            <w:tcW w:w="891" w:type="dxa"/>
            <w:vMerge/>
            <w:vAlign w:val="center"/>
          </w:tcPr>
          <w:p w14:paraId="5F499F0D" w14:textId="77777777" w:rsidR="000F30C4" w:rsidRPr="000C2E17" w:rsidRDefault="000F30C4" w:rsidP="000F30C4">
            <w:pPr>
              <w:jc w:val="center"/>
              <w:rPr>
                <w:rFonts w:ascii="Arial Narrow" w:hAnsi="Arial Narrow"/>
              </w:rPr>
            </w:pPr>
          </w:p>
        </w:tc>
        <w:tc>
          <w:tcPr>
            <w:tcW w:w="923" w:type="dxa"/>
            <w:tcBorders>
              <w:top w:val="dashSmallGap" w:sz="4" w:space="0" w:color="auto"/>
              <w:bottom w:val="dashSmallGap" w:sz="4" w:space="0" w:color="auto"/>
            </w:tcBorders>
            <w:vAlign w:val="bottom"/>
          </w:tcPr>
          <w:p w14:paraId="26679E2D" w14:textId="77777777" w:rsidR="000F30C4" w:rsidRPr="00C80DBF" w:rsidRDefault="000F30C4" w:rsidP="000F30C4">
            <w:pPr>
              <w:jc w:val="center"/>
              <w:rPr>
                <w:rFonts w:ascii="Calibri" w:eastAsia="Times New Roman" w:hAnsi="Calibri" w:cs="Calibri"/>
                <w:color w:val="000000"/>
              </w:rPr>
            </w:pPr>
            <w:r w:rsidRPr="00C80DBF">
              <w:rPr>
                <w:rFonts w:ascii="Calibri" w:eastAsia="Times New Roman" w:hAnsi="Calibri" w:cs="Calibri"/>
                <w:color w:val="000000"/>
              </w:rPr>
              <w:t>28571</w:t>
            </w:r>
          </w:p>
        </w:tc>
        <w:tc>
          <w:tcPr>
            <w:tcW w:w="2341" w:type="dxa"/>
            <w:tcBorders>
              <w:top w:val="dashSmallGap" w:sz="4" w:space="0" w:color="auto"/>
              <w:bottom w:val="dashSmallGap" w:sz="4" w:space="0" w:color="auto"/>
            </w:tcBorders>
            <w:vAlign w:val="bottom"/>
          </w:tcPr>
          <w:p w14:paraId="702BDFC3" w14:textId="77777777" w:rsidR="000F30C4" w:rsidRPr="00574352" w:rsidRDefault="000F30C4" w:rsidP="000F30C4">
            <w:pPr>
              <w:pStyle w:val="ListParagraph"/>
              <w:numPr>
                <w:ilvl w:val="0"/>
                <w:numId w:val="25"/>
              </w:numPr>
              <w:ind w:left="331" w:hanging="331"/>
              <w:rPr>
                <w:rFonts w:ascii="Calibri" w:eastAsia="Times New Roman" w:hAnsi="Calibri" w:cs="Calibri"/>
                <w:color w:val="000000"/>
                <w:sz w:val="20"/>
                <w:szCs w:val="20"/>
              </w:rPr>
            </w:pPr>
            <w:r w:rsidRPr="00574352">
              <w:rPr>
                <w:rFonts w:ascii="Calibri" w:eastAsia="Times New Roman" w:hAnsi="Calibri" w:cs="Calibri"/>
                <w:color w:val="000000"/>
                <w:sz w:val="20"/>
                <w:szCs w:val="20"/>
              </w:rPr>
              <w:t>SUPERIOR URBANA</w:t>
            </w:r>
          </w:p>
        </w:tc>
        <w:tc>
          <w:tcPr>
            <w:tcW w:w="2286" w:type="dxa"/>
            <w:tcBorders>
              <w:top w:val="dashSmallGap" w:sz="4" w:space="0" w:color="auto"/>
              <w:bottom w:val="dashSmallGap" w:sz="4" w:space="0" w:color="auto"/>
            </w:tcBorders>
          </w:tcPr>
          <w:p w14:paraId="5E343D9D" w14:textId="7AA44DCD" w:rsidR="000F30C4" w:rsidRPr="00574352" w:rsidRDefault="000F30C4" w:rsidP="000F30C4">
            <w:pPr>
              <w:jc w:val="center"/>
              <w:rPr>
                <w:rFonts w:ascii="Calibri" w:eastAsia="Times New Roman" w:hAnsi="Calibri" w:cs="Calibri"/>
                <w:color w:val="000000"/>
                <w:sz w:val="20"/>
                <w:szCs w:val="20"/>
              </w:rPr>
            </w:pPr>
            <w:r w:rsidRPr="00803826">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vAlign w:val="bottom"/>
          </w:tcPr>
          <w:p w14:paraId="152CA0F4" w14:textId="77777777" w:rsidR="000F30C4" w:rsidRPr="00574352" w:rsidRDefault="000F30C4" w:rsidP="000F30C4">
            <w:pPr>
              <w:jc w:val="center"/>
              <w:rPr>
                <w:rFonts w:ascii="Calibri" w:eastAsia="Times New Roman" w:hAnsi="Calibri" w:cs="Calibri"/>
                <w:color w:val="000000"/>
                <w:sz w:val="20"/>
                <w:szCs w:val="20"/>
              </w:rPr>
            </w:pPr>
            <w:r w:rsidRPr="00574352">
              <w:rPr>
                <w:rFonts w:ascii="Calibri" w:eastAsia="Times New Roman" w:hAnsi="Calibri" w:cs="Calibri"/>
                <w:color w:val="000000"/>
                <w:sz w:val="20"/>
                <w:szCs w:val="20"/>
              </w:rPr>
              <w:t>239,022.87</w:t>
            </w:r>
          </w:p>
        </w:tc>
      </w:tr>
      <w:tr w:rsidR="000F30C4" w14:paraId="7AA36055" w14:textId="77777777" w:rsidTr="00455A9F">
        <w:tc>
          <w:tcPr>
            <w:tcW w:w="891" w:type="dxa"/>
            <w:vMerge/>
            <w:vAlign w:val="center"/>
          </w:tcPr>
          <w:p w14:paraId="426E9413" w14:textId="77777777" w:rsidR="000F30C4" w:rsidRPr="000C2E17" w:rsidRDefault="000F30C4" w:rsidP="000F30C4">
            <w:pPr>
              <w:jc w:val="center"/>
              <w:rPr>
                <w:rFonts w:ascii="Arial Narrow" w:hAnsi="Arial Narrow"/>
              </w:rPr>
            </w:pPr>
          </w:p>
        </w:tc>
        <w:tc>
          <w:tcPr>
            <w:tcW w:w="923" w:type="dxa"/>
            <w:tcBorders>
              <w:top w:val="dashSmallGap" w:sz="4" w:space="0" w:color="auto"/>
              <w:bottom w:val="dashSmallGap" w:sz="4" w:space="0" w:color="auto"/>
            </w:tcBorders>
            <w:vAlign w:val="bottom"/>
          </w:tcPr>
          <w:p w14:paraId="27336B81" w14:textId="77777777" w:rsidR="000F30C4" w:rsidRPr="00C80DBF" w:rsidRDefault="000F30C4" w:rsidP="000F30C4">
            <w:pPr>
              <w:jc w:val="center"/>
              <w:rPr>
                <w:rFonts w:ascii="Calibri" w:eastAsia="Times New Roman" w:hAnsi="Calibri" w:cs="Calibri"/>
                <w:color w:val="000000"/>
              </w:rPr>
            </w:pPr>
            <w:r w:rsidRPr="00C80DBF">
              <w:rPr>
                <w:rFonts w:ascii="Calibri" w:eastAsia="Times New Roman" w:hAnsi="Calibri" w:cs="Calibri"/>
                <w:color w:val="000000"/>
              </w:rPr>
              <w:t>20255</w:t>
            </w:r>
          </w:p>
        </w:tc>
        <w:tc>
          <w:tcPr>
            <w:tcW w:w="2341" w:type="dxa"/>
            <w:tcBorders>
              <w:top w:val="dashSmallGap" w:sz="4" w:space="0" w:color="auto"/>
              <w:bottom w:val="dashSmallGap" w:sz="4" w:space="0" w:color="auto"/>
            </w:tcBorders>
            <w:vAlign w:val="bottom"/>
          </w:tcPr>
          <w:p w14:paraId="7AAFFC17" w14:textId="77777777" w:rsidR="000F30C4" w:rsidRPr="00574352" w:rsidRDefault="000F30C4" w:rsidP="000F30C4">
            <w:pPr>
              <w:pStyle w:val="ListParagraph"/>
              <w:numPr>
                <w:ilvl w:val="0"/>
                <w:numId w:val="25"/>
              </w:numPr>
              <w:ind w:left="331" w:hanging="331"/>
              <w:rPr>
                <w:rFonts w:ascii="Calibri" w:eastAsia="Times New Roman" w:hAnsi="Calibri" w:cs="Calibri"/>
                <w:color w:val="000000"/>
                <w:sz w:val="20"/>
                <w:szCs w:val="20"/>
              </w:rPr>
            </w:pPr>
            <w:r w:rsidRPr="00574352">
              <w:rPr>
                <w:rFonts w:ascii="Calibri" w:eastAsia="Times New Roman" w:hAnsi="Calibri" w:cs="Calibri"/>
                <w:color w:val="000000"/>
                <w:sz w:val="20"/>
                <w:szCs w:val="20"/>
              </w:rPr>
              <w:t>RAFAEL PONT FLORES</w:t>
            </w:r>
          </w:p>
        </w:tc>
        <w:tc>
          <w:tcPr>
            <w:tcW w:w="2286" w:type="dxa"/>
            <w:tcBorders>
              <w:top w:val="dashSmallGap" w:sz="4" w:space="0" w:color="auto"/>
              <w:bottom w:val="dashSmallGap" w:sz="4" w:space="0" w:color="auto"/>
            </w:tcBorders>
          </w:tcPr>
          <w:p w14:paraId="4C670274" w14:textId="0C49B7F9" w:rsidR="000F30C4" w:rsidRPr="00574352" w:rsidRDefault="000F30C4" w:rsidP="000F30C4">
            <w:pPr>
              <w:jc w:val="center"/>
              <w:rPr>
                <w:rFonts w:ascii="Calibri" w:eastAsia="Times New Roman" w:hAnsi="Calibri" w:cs="Calibri"/>
                <w:color w:val="000000"/>
                <w:sz w:val="20"/>
                <w:szCs w:val="20"/>
              </w:rPr>
            </w:pPr>
            <w:r w:rsidRPr="00803826">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vAlign w:val="bottom"/>
          </w:tcPr>
          <w:p w14:paraId="26D5FEF9" w14:textId="77777777" w:rsidR="000F30C4" w:rsidRPr="00574352" w:rsidRDefault="000F30C4" w:rsidP="000F30C4">
            <w:pPr>
              <w:jc w:val="center"/>
              <w:rPr>
                <w:rFonts w:ascii="Calibri" w:eastAsia="Times New Roman" w:hAnsi="Calibri" w:cs="Calibri"/>
                <w:color w:val="000000"/>
                <w:sz w:val="20"/>
                <w:szCs w:val="20"/>
              </w:rPr>
            </w:pPr>
            <w:r w:rsidRPr="00574352">
              <w:rPr>
                <w:rFonts w:ascii="Calibri" w:eastAsia="Times New Roman" w:hAnsi="Calibri" w:cs="Calibri"/>
                <w:color w:val="000000"/>
                <w:sz w:val="20"/>
                <w:szCs w:val="20"/>
              </w:rPr>
              <w:t>226,221.40</w:t>
            </w:r>
          </w:p>
        </w:tc>
      </w:tr>
      <w:tr w:rsidR="000F30C4" w14:paraId="76DFB622" w14:textId="77777777" w:rsidTr="00455A9F">
        <w:tc>
          <w:tcPr>
            <w:tcW w:w="891" w:type="dxa"/>
            <w:vMerge/>
            <w:vAlign w:val="center"/>
          </w:tcPr>
          <w:p w14:paraId="68B3A0D3" w14:textId="77777777" w:rsidR="000F30C4" w:rsidRPr="000C2E17" w:rsidRDefault="000F30C4" w:rsidP="000F30C4">
            <w:pPr>
              <w:jc w:val="center"/>
              <w:rPr>
                <w:rFonts w:ascii="Arial Narrow" w:hAnsi="Arial Narrow"/>
              </w:rPr>
            </w:pPr>
          </w:p>
        </w:tc>
        <w:tc>
          <w:tcPr>
            <w:tcW w:w="923" w:type="dxa"/>
            <w:tcBorders>
              <w:top w:val="dashSmallGap" w:sz="4" w:space="0" w:color="auto"/>
              <w:bottom w:val="single" w:sz="4" w:space="0" w:color="auto"/>
            </w:tcBorders>
            <w:vAlign w:val="bottom"/>
          </w:tcPr>
          <w:p w14:paraId="4E2DB9E9" w14:textId="77777777" w:rsidR="000F30C4" w:rsidRPr="00C80DBF" w:rsidRDefault="000F30C4" w:rsidP="000F30C4">
            <w:pPr>
              <w:jc w:val="center"/>
              <w:rPr>
                <w:rFonts w:ascii="Calibri" w:eastAsia="Times New Roman" w:hAnsi="Calibri" w:cs="Calibri"/>
                <w:color w:val="000000"/>
              </w:rPr>
            </w:pPr>
            <w:r w:rsidRPr="00C80DBF">
              <w:rPr>
                <w:rFonts w:ascii="Calibri" w:eastAsia="Times New Roman" w:hAnsi="Calibri" w:cs="Calibri"/>
                <w:color w:val="000000"/>
              </w:rPr>
              <w:t>26021</w:t>
            </w:r>
          </w:p>
        </w:tc>
        <w:tc>
          <w:tcPr>
            <w:tcW w:w="2341" w:type="dxa"/>
            <w:tcBorders>
              <w:top w:val="dashSmallGap" w:sz="4" w:space="0" w:color="auto"/>
              <w:bottom w:val="single" w:sz="4" w:space="0" w:color="auto"/>
            </w:tcBorders>
            <w:vAlign w:val="bottom"/>
          </w:tcPr>
          <w:p w14:paraId="4B41F1C4" w14:textId="77777777" w:rsidR="000F30C4" w:rsidRPr="00C80DBF" w:rsidRDefault="000F30C4" w:rsidP="000F30C4">
            <w:pPr>
              <w:pStyle w:val="ListParagraph"/>
              <w:numPr>
                <w:ilvl w:val="0"/>
                <w:numId w:val="25"/>
              </w:numPr>
              <w:ind w:left="331" w:hanging="331"/>
              <w:rPr>
                <w:rFonts w:ascii="Calibri" w:eastAsia="Times New Roman" w:hAnsi="Calibri" w:cs="Calibri"/>
                <w:color w:val="000000"/>
                <w:sz w:val="20"/>
                <w:szCs w:val="20"/>
              </w:rPr>
            </w:pPr>
            <w:r w:rsidRPr="00C80DBF">
              <w:rPr>
                <w:rFonts w:ascii="Calibri" w:eastAsia="Times New Roman" w:hAnsi="Calibri" w:cs="Calibri"/>
                <w:color w:val="000000"/>
                <w:sz w:val="20"/>
                <w:szCs w:val="20"/>
              </w:rPr>
              <w:t>LUIS MUÑOZ MARIN</w:t>
            </w:r>
          </w:p>
        </w:tc>
        <w:tc>
          <w:tcPr>
            <w:tcW w:w="2286" w:type="dxa"/>
            <w:tcBorders>
              <w:top w:val="dashSmallGap" w:sz="4" w:space="0" w:color="auto"/>
              <w:bottom w:val="single" w:sz="4" w:space="0" w:color="auto"/>
            </w:tcBorders>
          </w:tcPr>
          <w:p w14:paraId="3BE4C90A" w14:textId="032380BC" w:rsidR="000F30C4" w:rsidRPr="00C80DBF" w:rsidRDefault="000F30C4" w:rsidP="000F30C4">
            <w:pPr>
              <w:jc w:val="center"/>
              <w:rPr>
                <w:rFonts w:ascii="Calibri" w:eastAsia="Times New Roman" w:hAnsi="Calibri" w:cs="Calibri"/>
                <w:color w:val="000000"/>
                <w:sz w:val="20"/>
                <w:szCs w:val="20"/>
              </w:rPr>
            </w:pPr>
            <w:r w:rsidRPr="00803826">
              <w:rPr>
                <w:rFonts w:ascii="Calibri" w:eastAsia="Times New Roman" w:hAnsi="Calibri" w:cs="Calibri"/>
                <w:color w:val="000000"/>
                <w:sz w:val="20"/>
                <w:szCs w:val="20"/>
              </w:rPr>
              <w:t>SECONDARY</w:t>
            </w:r>
          </w:p>
        </w:tc>
        <w:tc>
          <w:tcPr>
            <w:tcW w:w="1294" w:type="dxa"/>
            <w:tcBorders>
              <w:top w:val="dashSmallGap" w:sz="4" w:space="0" w:color="auto"/>
              <w:bottom w:val="single" w:sz="4" w:space="0" w:color="auto"/>
            </w:tcBorders>
            <w:vAlign w:val="bottom"/>
          </w:tcPr>
          <w:p w14:paraId="5301607E" w14:textId="77777777" w:rsidR="000F30C4" w:rsidRPr="00C80DBF" w:rsidRDefault="000F30C4" w:rsidP="000F30C4">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226,079.65</w:t>
            </w:r>
          </w:p>
        </w:tc>
      </w:tr>
      <w:tr w:rsidR="000F30C4" w14:paraId="20A7D176" w14:textId="77777777" w:rsidTr="00455A9F">
        <w:tc>
          <w:tcPr>
            <w:tcW w:w="891" w:type="dxa"/>
            <w:vMerge w:val="restart"/>
            <w:textDirection w:val="btLr"/>
            <w:vAlign w:val="center"/>
          </w:tcPr>
          <w:p w14:paraId="7F5B39EC" w14:textId="77777777" w:rsidR="000F30C4" w:rsidRPr="000C2E17" w:rsidRDefault="000F30C4" w:rsidP="000F30C4">
            <w:pPr>
              <w:ind w:left="113" w:right="113"/>
              <w:jc w:val="center"/>
              <w:rPr>
                <w:rFonts w:ascii="Arial Narrow" w:hAnsi="Arial Narrow"/>
              </w:rPr>
            </w:pPr>
            <w:r w:rsidRPr="000C2E17">
              <w:rPr>
                <w:rFonts w:ascii="Arial Narrow" w:hAnsi="Arial Narrow"/>
              </w:rPr>
              <w:t>Hum</w:t>
            </w:r>
          </w:p>
        </w:tc>
        <w:tc>
          <w:tcPr>
            <w:tcW w:w="923" w:type="dxa"/>
            <w:tcBorders>
              <w:bottom w:val="dashSmallGap" w:sz="4" w:space="0" w:color="auto"/>
            </w:tcBorders>
            <w:vAlign w:val="bottom"/>
          </w:tcPr>
          <w:p w14:paraId="69CA1170" w14:textId="77777777" w:rsidR="000F30C4" w:rsidRPr="00574352" w:rsidRDefault="000F30C4" w:rsidP="000F30C4">
            <w:pPr>
              <w:jc w:val="center"/>
              <w:rPr>
                <w:rFonts w:ascii="Calibri" w:eastAsia="Times New Roman" w:hAnsi="Calibri" w:cs="Calibri"/>
                <w:color w:val="000000"/>
              </w:rPr>
            </w:pPr>
            <w:r w:rsidRPr="00574352">
              <w:rPr>
                <w:rFonts w:ascii="Calibri" w:eastAsia="Times New Roman" w:hAnsi="Calibri" w:cs="Calibri"/>
                <w:color w:val="000000"/>
              </w:rPr>
              <w:t>34785</w:t>
            </w:r>
          </w:p>
        </w:tc>
        <w:tc>
          <w:tcPr>
            <w:tcW w:w="2341" w:type="dxa"/>
            <w:tcBorders>
              <w:bottom w:val="dashSmallGap" w:sz="4" w:space="0" w:color="auto"/>
            </w:tcBorders>
            <w:vAlign w:val="bottom"/>
          </w:tcPr>
          <w:p w14:paraId="080BD586" w14:textId="77777777" w:rsidR="000F30C4" w:rsidRPr="00574352" w:rsidRDefault="000F30C4" w:rsidP="000F30C4">
            <w:pPr>
              <w:pStyle w:val="ListParagraph"/>
              <w:numPr>
                <w:ilvl w:val="0"/>
                <w:numId w:val="25"/>
              </w:numPr>
              <w:ind w:left="331" w:hanging="331"/>
              <w:rPr>
                <w:rFonts w:ascii="Calibri" w:eastAsia="Times New Roman" w:hAnsi="Calibri" w:cs="Calibri"/>
                <w:color w:val="000000"/>
                <w:sz w:val="20"/>
                <w:szCs w:val="20"/>
              </w:rPr>
            </w:pPr>
            <w:r w:rsidRPr="00574352">
              <w:rPr>
                <w:rFonts w:ascii="Calibri" w:eastAsia="Times New Roman" w:hAnsi="Calibri" w:cs="Calibri"/>
                <w:color w:val="000000"/>
                <w:sz w:val="20"/>
                <w:szCs w:val="20"/>
              </w:rPr>
              <w:t>JOSE COLLAZO COLON</w:t>
            </w:r>
          </w:p>
        </w:tc>
        <w:tc>
          <w:tcPr>
            <w:tcW w:w="2286" w:type="dxa"/>
            <w:tcBorders>
              <w:bottom w:val="dashSmallGap" w:sz="4" w:space="0" w:color="auto"/>
            </w:tcBorders>
          </w:tcPr>
          <w:p w14:paraId="490B355E" w14:textId="040E6565" w:rsidR="000F30C4" w:rsidRPr="00574352" w:rsidRDefault="000F30C4" w:rsidP="000F30C4">
            <w:pPr>
              <w:jc w:val="center"/>
              <w:rPr>
                <w:rFonts w:ascii="Calibri" w:eastAsia="Times New Roman" w:hAnsi="Calibri" w:cs="Calibri"/>
                <w:color w:val="000000"/>
                <w:sz w:val="20"/>
                <w:szCs w:val="20"/>
              </w:rPr>
            </w:pPr>
            <w:r w:rsidRPr="00803826">
              <w:rPr>
                <w:rFonts w:ascii="Calibri" w:eastAsia="Times New Roman" w:hAnsi="Calibri" w:cs="Calibri"/>
                <w:color w:val="000000"/>
                <w:sz w:val="20"/>
                <w:szCs w:val="20"/>
              </w:rPr>
              <w:t>SECONDARY</w:t>
            </w:r>
          </w:p>
        </w:tc>
        <w:tc>
          <w:tcPr>
            <w:tcW w:w="1294" w:type="dxa"/>
            <w:tcBorders>
              <w:bottom w:val="dashSmallGap" w:sz="4" w:space="0" w:color="auto"/>
            </w:tcBorders>
            <w:vAlign w:val="bottom"/>
          </w:tcPr>
          <w:p w14:paraId="4E0B401F" w14:textId="77777777" w:rsidR="000F30C4" w:rsidRPr="00574352" w:rsidRDefault="000F30C4" w:rsidP="000F30C4">
            <w:pPr>
              <w:jc w:val="center"/>
              <w:rPr>
                <w:rFonts w:ascii="Calibri" w:eastAsia="Times New Roman" w:hAnsi="Calibri" w:cs="Calibri"/>
                <w:color w:val="000000"/>
                <w:sz w:val="20"/>
                <w:szCs w:val="20"/>
              </w:rPr>
            </w:pPr>
            <w:r w:rsidRPr="00574352">
              <w:rPr>
                <w:rFonts w:ascii="Calibri" w:eastAsia="Times New Roman" w:hAnsi="Calibri" w:cs="Calibri"/>
                <w:color w:val="000000"/>
                <w:sz w:val="20"/>
                <w:szCs w:val="20"/>
              </w:rPr>
              <w:t>251,714.87</w:t>
            </w:r>
          </w:p>
        </w:tc>
      </w:tr>
      <w:tr w:rsidR="000F30C4" w14:paraId="611E2184" w14:textId="77777777" w:rsidTr="00455A9F">
        <w:tc>
          <w:tcPr>
            <w:tcW w:w="891" w:type="dxa"/>
            <w:vMerge/>
            <w:vAlign w:val="center"/>
          </w:tcPr>
          <w:p w14:paraId="611B5A6E" w14:textId="77777777" w:rsidR="000F30C4" w:rsidRPr="000C2E17" w:rsidRDefault="000F30C4" w:rsidP="000F30C4">
            <w:pPr>
              <w:jc w:val="center"/>
              <w:rPr>
                <w:rFonts w:ascii="Arial Narrow" w:hAnsi="Arial Narrow"/>
              </w:rPr>
            </w:pPr>
          </w:p>
        </w:tc>
        <w:tc>
          <w:tcPr>
            <w:tcW w:w="923" w:type="dxa"/>
            <w:tcBorders>
              <w:top w:val="dashSmallGap" w:sz="4" w:space="0" w:color="auto"/>
              <w:bottom w:val="dashSmallGap" w:sz="4" w:space="0" w:color="auto"/>
            </w:tcBorders>
            <w:vAlign w:val="bottom"/>
          </w:tcPr>
          <w:p w14:paraId="7169217F" w14:textId="77777777" w:rsidR="000F30C4" w:rsidRPr="00574352" w:rsidRDefault="000F30C4" w:rsidP="000F30C4">
            <w:pPr>
              <w:jc w:val="center"/>
              <w:rPr>
                <w:rFonts w:ascii="Calibri" w:eastAsia="Times New Roman" w:hAnsi="Calibri" w:cs="Calibri"/>
                <w:color w:val="000000"/>
              </w:rPr>
            </w:pPr>
            <w:r w:rsidRPr="00574352">
              <w:rPr>
                <w:rFonts w:ascii="Calibri" w:eastAsia="Times New Roman" w:hAnsi="Calibri" w:cs="Calibri"/>
                <w:color w:val="000000"/>
              </w:rPr>
              <w:t>30973</w:t>
            </w:r>
          </w:p>
        </w:tc>
        <w:tc>
          <w:tcPr>
            <w:tcW w:w="2341" w:type="dxa"/>
            <w:tcBorders>
              <w:top w:val="dashSmallGap" w:sz="4" w:space="0" w:color="auto"/>
              <w:bottom w:val="dashSmallGap" w:sz="4" w:space="0" w:color="auto"/>
            </w:tcBorders>
            <w:vAlign w:val="bottom"/>
          </w:tcPr>
          <w:p w14:paraId="693708C9" w14:textId="77777777" w:rsidR="000F30C4" w:rsidRPr="00574352" w:rsidRDefault="000F30C4" w:rsidP="000F30C4">
            <w:pPr>
              <w:pStyle w:val="ListParagraph"/>
              <w:numPr>
                <w:ilvl w:val="0"/>
                <w:numId w:val="25"/>
              </w:numPr>
              <w:ind w:left="331" w:hanging="331"/>
              <w:rPr>
                <w:rFonts w:ascii="Calibri" w:eastAsia="Times New Roman" w:hAnsi="Calibri" w:cs="Calibri"/>
                <w:color w:val="000000"/>
                <w:sz w:val="20"/>
                <w:szCs w:val="20"/>
              </w:rPr>
            </w:pPr>
            <w:r w:rsidRPr="00574352">
              <w:rPr>
                <w:rFonts w:ascii="Calibri" w:eastAsia="Times New Roman" w:hAnsi="Calibri" w:cs="Calibri"/>
                <w:color w:val="000000"/>
                <w:sz w:val="20"/>
                <w:szCs w:val="20"/>
              </w:rPr>
              <w:t>RAMON POWER Y GIRALT</w:t>
            </w:r>
          </w:p>
        </w:tc>
        <w:tc>
          <w:tcPr>
            <w:tcW w:w="2286" w:type="dxa"/>
            <w:tcBorders>
              <w:top w:val="dashSmallGap" w:sz="4" w:space="0" w:color="auto"/>
              <w:bottom w:val="dashSmallGap" w:sz="4" w:space="0" w:color="auto"/>
            </w:tcBorders>
          </w:tcPr>
          <w:p w14:paraId="7F58E666" w14:textId="375496E8" w:rsidR="000F30C4" w:rsidRPr="00574352" w:rsidRDefault="000F30C4" w:rsidP="000F30C4">
            <w:pPr>
              <w:jc w:val="center"/>
              <w:rPr>
                <w:rFonts w:ascii="Calibri" w:eastAsia="Times New Roman" w:hAnsi="Calibri" w:cs="Calibri"/>
                <w:color w:val="000000"/>
                <w:sz w:val="20"/>
                <w:szCs w:val="20"/>
              </w:rPr>
            </w:pPr>
            <w:r w:rsidRPr="00803826">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vAlign w:val="bottom"/>
          </w:tcPr>
          <w:p w14:paraId="108BE007" w14:textId="77777777" w:rsidR="000F30C4" w:rsidRPr="00574352" w:rsidRDefault="000F30C4" w:rsidP="000F30C4">
            <w:pPr>
              <w:jc w:val="center"/>
              <w:rPr>
                <w:rFonts w:ascii="Calibri" w:eastAsia="Times New Roman" w:hAnsi="Calibri" w:cs="Calibri"/>
                <w:color w:val="000000"/>
                <w:sz w:val="20"/>
                <w:szCs w:val="20"/>
              </w:rPr>
            </w:pPr>
            <w:r w:rsidRPr="00574352">
              <w:rPr>
                <w:rFonts w:ascii="Calibri" w:eastAsia="Times New Roman" w:hAnsi="Calibri" w:cs="Calibri"/>
                <w:color w:val="000000"/>
                <w:sz w:val="20"/>
                <w:szCs w:val="20"/>
              </w:rPr>
              <w:t>243,775.28</w:t>
            </w:r>
          </w:p>
        </w:tc>
      </w:tr>
      <w:tr w:rsidR="000F30C4" w14:paraId="5E003BD2" w14:textId="77777777" w:rsidTr="00455A9F">
        <w:tc>
          <w:tcPr>
            <w:tcW w:w="891" w:type="dxa"/>
            <w:vMerge/>
            <w:vAlign w:val="center"/>
          </w:tcPr>
          <w:p w14:paraId="5BF8AEE6" w14:textId="77777777" w:rsidR="000F30C4" w:rsidRPr="000C2E17" w:rsidRDefault="000F30C4" w:rsidP="000F30C4">
            <w:pPr>
              <w:jc w:val="center"/>
              <w:rPr>
                <w:rFonts w:ascii="Arial Narrow" w:hAnsi="Arial Narrow"/>
              </w:rPr>
            </w:pPr>
          </w:p>
        </w:tc>
        <w:tc>
          <w:tcPr>
            <w:tcW w:w="923" w:type="dxa"/>
            <w:tcBorders>
              <w:top w:val="dashSmallGap" w:sz="4" w:space="0" w:color="auto"/>
              <w:bottom w:val="dashSmallGap" w:sz="4" w:space="0" w:color="auto"/>
            </w:tcBorders>
            <w:vAlign w:val="bottom"/>
          </w:tcPr>
          <w:p w14:paraId="6E5AA79C" w14:textId="77777777" w:rsidR="000F30C4" w:rsidRPr="00D2051F" w:rsidRDefault="000F30C4" w:rsidP="000F30C4">
            <w:pPr>
              <w:jc w:val="center"/>
              <w:rPr>
                <w:rFonts w:ascii="Calibri" w:eastAsia="Times New Roman" w:hAnsi="Calibri" w:cs="Calibri"/>
                <w:color w:val="000000"/>
              </w:rPr>
            </w:pPr>
            <w:r w:rsidRPr="00D2051F">
              <w:rPr>
                <w:rFonts w:ascii="Calibri" w:eastAsia="Times New Roman" w:hAnsi="Calibri" w:cs="Calibri"/>
                <w:color w:val="000000"/>
              </w:rPr>
              <w:t>30167</w:t>
            </w:r>
          </w:p>
        </w:tc>
        <w:tc>
          <w:tcPr>
            <w:tcW w:w="2341" w:type="dxa"/>
            <w:tcBorders>
              <w:top w:val="dashSmallGap" w:sz="4" w:space="0" w:color="auto"/>
              <w:bottom w:val="dashSmallGap" w:sz="4" w:space="0" w:color="auto"/>
            </w:tcBorders>
            <w:vAlign w:val="bottom"/>
          </w:tcPr>
          <w:p w14:paraId="26DD07C1" w14:textId="77777777" w:rsidR="000F30C4" w:rsidRPr="00D2051F" w:rsidRDefault="000F30C4" w:rsidP="000F30C4">
            <w:pPr>
              <w:pStyle w:val="ListParagraph"/>
              <w:numPr>
                <w:ilvl w:val="0"/>
                <w:numId w:val="25"/>
              </w:numPr>
              <w:ind w:left="331" w:hanging="331"/>
              <w:rPr>
                <w:rFonts w:ascii="Calibri" w:eastAsia="Times New Roman" w:hAnsi="Calibri" w:cs="Calibri"/>
                <w:color w:val="000000"/>
                <w:sz w:val="20"/>
                <w:szCs w:val="20"/>
                <w:lang w:val="es-PR"/>
              </w:rPr>
            </w:pPr>
            <w:r w:rsidRPr="00D2051F">
              <w:rPr>
                <w:rFonts w:ascii="Calibri" w:eastAsia="Times New Roman" w:hAnsi="Calibri" w:cs="Calibri"/>
                <w:color w:val="000000"/>
                <w:sz w:val="20"/>
                <w:szCs w:val="20"/>
                <w:lang w:val="es-PR"/>
              </w:rPr>
              <w:t>CROEC</w:t>
            </w:r>
          </w:p>
        </w:tc>
        <w:tc>
          <w:tcPr>
            <w:tcW w:w="2286" w:type="dxa"/>
            <w:tcBorders>
              <w:top w:val="dashSmallGap" w:sz="4" w:space="0" w:color="auto"/>
              <w:bottom w:val="dashSmallGap" w:sz="4" w:space="0" w:color="auto"/>
            </w:tcBorders>
          </w:tcPr>
          <w:p w14:paraId="087F492A" w14:textId="432E0A21" w:rsidR="000F30C4" w:rsidRPr="00D2051F" w:rsidRDefault="000F30C4" w:rsidP="000F30C4">
            <w:pPr>
              <w:jc w:val="center"/>
              <w:rPr>
                <w:rFonts w:ascii="Calibri" w:eastAsia="Times New Roman" w:hAnsi="Calibri" w:cs="Calibri"/>
                <w:color w:val="000000"/>
                <w:sz w:val="20"/>
                <w:szCs w:val="20"/>
              </w:rPr>
            </w:pPr>
            <w:r w:rsidRPr="00803826">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vAlign w:val="bottom"/>
          </w:tcPr>
          <w:p w14:paraId="16267FC4" w14:textId="77777777" w:rsidR="000F30C4" w:rsidRPr="00D2051F" w:rsidRDefault="000F30C4" w:rsidP="000F30C4">
            <w:pPr>
              <w:jc w:val="center"/>
              <w:rPr>
                <w:rFonts w:ascii="Calibri" w:eastAsia="Times New Roman" w:hAnsi="Calibri" w:cs="Calibri"/>
                <w:color w:val="000000"/>
                <w:sz w:val="20"/>
                <w:szCs w:val="20"/>
              </w:rPr>
            </w:pPr>
            <w:r w:rsidRPr="00D2051F">
              <w:rPr>
                <w:rFonts w:ascii="Calibri" w:eastAsia="Times New Roman" w:hAnsi="Calibri" w:cs="Calibri"/>
                <w:color w:val="000000"/>
                <w:sz w:val="20"/>
                <w:szCs w:val="20"/>
              </w:rPr>
              <w:t>241,815.24</w:t>
            </w:r>
          </w:p>
        </w:tc>
      </w:tr>
      <w:tr w:rsidR="000F30C4" w14:paraId="7D8132E6" w14:textId="77777777" w:rsidTr="00455A9F">
        <w:tc>
          <w:tcPr>
            <w:tcW w:w="891" w:type="dxa"/>
            <w:vMerge/>
            <w:vAlign w:val="center"/>
          </w:tcPr>
          <w:p w14:paraId="4A03DB47" w14:textId="77777777" w:rsidR="000F30C4" w:rsidRPr="000C2E17" w:rsidRDefault="000F30C4" w:rsidP="000F30C4">
            <w:pPr>
              <w:jc w:val="center"/>
              <w:rPr>
                <w:rFonts w:ascii="Arial Narrow" w:hAnsi="Arial Narrow"/>
              </w:rPr>
            </w:pPr>
          </w:p>
        </w:tc>
        <w:tc>
          <w:tcPr>
            <w:tcW w:w="923" w:type="dxa"/>
            <w:tcBorders>
              <w:top w:val="dashSmallGap" w:sz="4" w:space="0" w:color="auto"/>
              <w:bottom w:val="dashSmallGap" w:sz="4" w:space="0" w:color="auto"/>
            </w:tcBorders>
            <w:vAlign w:val="bottom"/>
          </w:tcPr>
          <w:p w14:paraId="11001387" w14:textId="77777777" w:rsidR="000F30C4" w:rsidRPr="00D2051F" w:rsidRDefault="000F30C4" w:rsidP="000F30C4">
            <w:pPr>
              <w:jc w:val="center"/>
              <w:rPr>
                <w:rFonts w:ascii="Calibri" w:eastAsia="Times New Roman" w:hAnsi="Calibri" w:cs="Calibri"/>
                <w:color w:val="000000"/>
              </w:rPr>
            </w:pPr>
            <w:r w:rsidRPr="00D2051F">
              <w:rPr>
                <w:rFonts w:ascii="Calibri" w:eastAsia="Times New Roman" w:hAnsi="Calibri" w:cs="Calibri"/>
                <w:color w:val="000000"/>
              </w:rPr>
              <w:t>35972</w:t>
            </w:r>
          </w:p>
        </w:tc>
        <w:tc>
          <w:tcPr>
            <w:tcW w:w="2341" w:type="dxa"/>
            <w:tcBorders>
              <w:top w:val="dashSmallGap" w:sz="4" w:space="0" w:color="auto"/>
              <w:bottom w:val="dashSmallGap" w:sz="4" w:space="0" w:color="auto"/>
            </w:tcBorders>
            <w:vAlign w:val="bottom"/>
          </w:tcPr>
          <w:p w14:paraId="4AF9E8A0" w14:textId="77777777" w:rsidR="000F30C4" w:rsidRPr="00D2051F" w:rsidRDefault="000F30C4" w:rsidP="000F30C4">
            <w:pPr>
              <w:pStyle w:val="ListParagraph"/>
              <w:numPr>
                <w:ilvl w:val="0"/>
                <w:numId w:val="25"/>
              </w:numPr>
              <w:ind w:left="331" w:hanging="331"/>
              <w:rPr>
                <w:rFonts w:ascii="Calibri" w:eastAsia="Times New Roman" w:hAnsi="Calibri" w:cs="Calibri"/>
                <w:color w:val="000000"/>
                <w:sz w:val="20"/>
                <w:szCs w:val="20"/>
              </w:rPr>
            </w:pPr>
            <w:r w:rsidRPr="00D2051F">
              <w:rPr>
                <w:rFonts w:ascii="Calibri" w:eastAsia="Times New Roman" w:hAnsi="Calibri" w:cs="Calibri"/>
                <w:color w:val="000000"/>
                <w:sz w:val="20"/>
                <w:szCs w:val="20"/>
              </w:rPr>
              <w:t>JORGE ROSARIO DEL VALLE</w:t>
            </w:r>
          </w:p>
        </w:tc>
        <w:tc>
          <w:tcPr>
            <w:tcW w:w="2286" w:type="dxa"/>
            <w:tcBorders>
              <w:top w:val="dashSmallGap" w:sz="4" w:space="0" w:color="auto"/>
              <w:bottom w:val="dashSmallGap" w:sz="4" w:space="0" w:color="auto"/>
            </w:tcBorders>
          </w:tcPr>
          <w:p w14:paraId="705E2002" w14:textId="584765F5" w:rsidR="000F30C4" w:rsidRPr="00D2051F" w:rsidRDefault="000F30C4" w:rsidP="000F30C4">
            <w:pPr>
              <w:jc w:val="center"/>
              <w:rPr>
                <w:rFonts w:ascii="Calibri" w:eastAsia="Times New Roman" w:hAnsi="Calibri" w:cs="Calibri"/>
                <w:color w:val="000000"/>
                <w:sz w:val="20"/>
                <w:szCs w:val="20"/>
              </w:rPr>
            </w:pPr>
            <w:r w:rsidRPr="00803826">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vAlign w:val="bottom"/>
          </w:tcPr>
          <w:p w14:paraId="65FEDD6B" w14:textId="77777777" w:rsidR="000F30C4" w:rsidRPr="00D2051F" w:rsidRDefault="000F30C4" w:rsidP="000F30C4">
            <w:pPr>
              <w:jc w:val="center"/>
              <w:rPr>
                <w:rFonts w:ascii="Calibri" w:eastAsia="Times New Roman" w:hAnsi="Calibri" w:cs="Calibri"/>
                <w:color w:val="000000"/>
                <w:sz w:val="20"/>
                <w:szCs w:val="20"/>
              </w:rPr>
            </w:pPr>
            <w:r w:rsidRPr="00D2051F">
              <w:rPr>
                <w:rFonts w:ascii="Calibri" w:eastAsia="Times New Roman" w:hAnsi="Calibri" w:cs="Calibri"/>
                <w:color w:val="000000"/>
                <w:sz w:val="20"/>
                <w:szCs w:val="20"/>
              </w:rPr>
              <w:t>241,017.36</w:t>
            </w:r>
          </w:p>
        </w:tc>
      </w:tr>
      <w:tr w:rsidR="009C0440" w14:paraId="538ECA74" w14:textId="77777777" w:rsidTr="000F30C4">
        <w:tc>
          <w:tcPr>
            <w:tcW w:w="891" w:type="dxa"/>
            <w:vMerge/>
            <w:vAlign w:val="center"/>
          </w:tcPr>
          <w:p w14:paraId="608AAA5F" w14:textId="77777777" w:rsidR="009C0440" w:rsidRPr="000C2E17" w:rsidRDefault="009C0440" w:rsidP="007A318E">
            <w:pPr>
              <w:jc w:val="center"/>
              <w:rPr>
                <w:rFonts w:ascii="Arial Narrow" w:hAnsi="Arial Narrow"/>
              </w:rPr>
            </w:pPr>
          </w:p>
        </w:tc>
        <w:tc>
          <w:tcPr>
            <w:tcW w:w="923" w:type="dxa"/>
            <w:tcBorders>
              <w:top w:val="dashSmallGap" w:sz="4" w:space="0" w:color="auto"/>
              <w:bottom w:val="dashSmallGap" w:sz="4" w:space="0" w:color="auto"/>
            </w:tcBorders>
            <w:shd w:val="clear" w:color="auto" w:fill="auto"/>
            <w:vAlign w:val="bottom"/>
          </w:tcPr>
          <w:p w14:paraId="42B6F26D" w14:textId="77777777" w:rsidR="009C0440" w:rsidRPr="005F41AB" w:rsidRDefault="009C0440" w:rsidP="007A318E">
            <w:pPr>
              <w:jc w:val="center"/>
              <w:rPr>
                <w:rFonts w:ascii="Calibri" w:hAnsi="Calibri" w:cs="Calibri"/>
                <w:color w:val="000000"/>
              </w:rPr>
            </w:pPr>
            <w:r w:rsidRPr="005F41AB">
              <w:rPr>
                <w:rFonts w:ascii="Calibri" w:hAnsi="Calibri" w:cs="Calibri"/>
                <w:color w:val="000000"/>
              </w:rPr>
              <w:t>31583</w:t>
            </w:r>
          </w:p>
        </w:tc>
        <w:tc>
          <w:tcPr>
            <w:tcW w:w="2341" w:type="dxa"/>
            <w:tcBorders>
              <w:top w:val="dashSmallGap" w:sz="4" w:space="0" w:color="auto"/>
              <w:bottom w:val="dashSmallGap" w:sz="4" w:space="0" w:color="auto"/>
            </w:tcBorders>
            <w:shd w:val="clear" w:color="auto" w:fill="auto"/>
            <w:vAlign w:val="bottom"/>
          </w:tcPr>
          <w:p w14:paraId="7F7F195C" w14:textId="77777777" w:rsidR="009C0440" w:rsidRPr="005F41AB" w:rsidRDefault="009C0440" w:rsidP="007A318E">
            <w:pPr>
              <w:pStyle w:val="ListParagraph"/>
              <w:numPr>
                <w:ilvl w:val="0"/>
                <w:numId w:val="25"/>
              </w:numPr>
              <w:ind w:left="331" w:hanging="331"/>
              <w:rPr>
                <w:rFonts w:ascii="Calibri" w:hAnsi="Calibri" w:cs="Calibri"/>
                <w:color w:val="000000"/>
                <w:sz w:val="20"/>
                <w:szCs w:val="20"/>
              </w:rPr>
            </w:pPr>
            <w:r w:rsidRPr="005F41AB">
              <w:rPr>
                <w:rFonts w:ascii="Calibri" w:hAnsi="Calibri" w:cs="Calibri"/>
                <w:color w:val="000000"/>
                <w:sz w:val="20"/>
                <w:szCs w:val="20"/>
              </w:rPr>
              <w:t>LUTGARDA RIVERA REYES</w:t>
            </w:r>
          </w:p>
        </w:tc>
        <w:tc>
          <w:tcPr>
            <w:tcW w:w="2286" w:type="dxa"/>
            <w:tcBorders>
              <w:top w:val="dashSmallGap" w:sz="4" w:space="0" w:color="auto"/>
              <w:bottom w:val="dashSmallGap" w:sz="4" w:space="0" w:color="auto"/>
            </w:tcBorders>
            <w:shd w:val="clear" w:color="auto" w:fill="auto"/>
            <w:vAlign w:val="bottom"/>
          </w:tcPr>
          <w:p w14:paraId="49FCCF7D"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PRIMARY</w:t>
            </w:r>
          </w:p>
        </w:tc>
        <w:tc>
          <w:tcPr>
            <w:tcW w:w="1294" w:type="dxa"/>
            <w:tcBorders>
              <w:top w:val="dashSmallGap" w:sz="4" w:space="0" w:color="auto"/>
              <w:bottom w:val="dashSmallGap" w:sz="4" w:space="0" w:color="auto"/>
            </w:tcBorders>
            <w:shd w:val="clear" w:color="auto" w:fill="auto"/>
            <w:vAlign w:val="bottom"/>
          </w:tcPr>
          <w:p w14:paraId="02B0CC00" w14:textId="77777777" w:rsidR="009C0440" w:rsidRPr="005F41AB" w:rsidRDefault="009C0440" w:rsidP="007A318E">
            <w:pPr>
              <w:jc w:val="center"/>
              <w:rPr>
                <w:rFonts w:ascii="Calibri" w:hAnsi="Calibri" w:cs="Calibri"/>
                <w:color w:val="000000"/>
                <w:sz w:val="20"/>
                <w:szCs w:val="20"/>
              </w:rPr>
            </w:pPr>
            <w:r w:rsidRPr="005F41AB">
              <w:rPr>
                <w:rFonts w:ascii="Calibri" w:hAnsi="Calibri" w:cs="Calibri"/>
                <w:color w:val="000000"/>
                <w:sz w:val="20"/>
                <w:szCs w:val="20"/>
              </w:rPr>
              <w:t>115,740.25</w:t>
            </w:r>
          </w:p>
        </w:tc>
      </w:tr>
      <w:tr w:rsidR="009C0440" w14:paraId="1C2E673F" w14:textId="77777777" w:rsidTr="000F30C4">
        <w:tc>
          <w:tcPr>
            <w:tcW w:w="891" w:type="dxa"/>
            <w:vMerge/>
            <w:vAlign w:val="center"/>
          </w:tcPr>
          <w:p w14:paraId="27F9B5A9" w14:textId="77777777" w:rsidR="009C0440" w:rsidRPr="000C2E17" w:rsidRDefault="009C0440" w:rsidP="007A318E">
            <w:pPr>
              <w:jc w:val="center"/>
              <w:rPr>
                <w:rFonts w:ascii="Arial Narrow" w:hAnsi="Arial Narrow"/>
              </w:rPr>
            </w:pPr>
          </w:p>
        </w:tc>
        <w:tc>
          <w:tcPr>
            <w:tcW w:w="923" w:type="dxa"/>
            <w:tcBorders>
              <w:top w:val="dashSmallGap" w:sz="4" w:space="0" w:color="auto"/>
              <w:bottom w:val="dashSmallGap" w:sz="4" w:space="0" w:color="auto"/>
            </w:tcBorders>
            <w:shd w:val="clear" w:color="auto" w:fill="auto"/>
            <w:vAlign w:val="bottom"/>
          </w:tcPr>
          <w:p w14:paraId="31BAE5FE" w14:textId="77777777" w:rsidR="009C0440" w:rsidRPr="005F41AB" w:rsidRDefault="009C0440" w:rsidP="007A318E">
            <w:pPr>
              <w:jc w:val="center"/>
              <w:rPr>
                <w:rFonts w:ascii="Calibri" w:hAnsi="Calibri" w:cs="Calibri"/>
                <w:color w:val="000000"/>
              </w:rPr>
            </w:pPr>
            <w:r w:rsidRPr="005F41AB">
              <w:rPr>
                <w:rFonts w:ascii="Calibri" w:hAnsi="Calibri" w:cs="Calibri"/>
                <w:color w:val="000000"/>
              </w:rPr>
              <w:t>36335</w:t>
            </w:r>
          </w:p>
        </w:tc>
        <w:tc>
          <w:tcPr>
            <w:tcW w:w="2341" w:type="dxa"/>
            <w:tcBorders>
              <w:top w:val="dashSmallGap" w:sz="4" w:space="0" w:color="auto"/>
              <w:bottom w:val="dashSmallGap" w:sz="4" w:space="0" w:color="auto"/>
            </w:tcBorders>
            <w:shd w:val="clear" w:color="auto" w:fill="auto"/>
            <w:vAlign w:val="bottom"/>
          </w:tcPr>
          <w:p w14:paraId="6A1613B1" w14:textId="77777777" w:rsidR="009C0440" w:rsidRPr="005F41AB" w:rsidRDefault="009C0440" w:rsidP="007A318E">
            <w:pPr>
              <w:pStyle w:val="ListParagraph"/>
              <w:numPr>
                <w:ilvl w:val="0"/>
                <w:numId w:val="25"/>
              </w:numPr>
              <w:ind w:left="331" w:hanging="331"/>
              <w:rPr>
                <w:rFonts w:ascii="Calibri" w:hAnsi="Calibri" w:cs="Calibri"/>
                <w:color w:val="000000"/>
                <w:sz w:val="20"/>
                <w:szCs w:val="20"/>
              </w:rPr>
            </w:pPr>
            <w:r w:rsidRPr="005F41AB">
              <w:rPr>
                <w:rFonts w:ascii="Calibri" w:hAnsi="Calibri" w:cs="Calibri"/>
                <w:color w:val="000000"/>
                <w:sz w:val="20"/>
                <w:szCs w:val="20"/>
              </w:rPr>
              <w:t>NUEVA SUPERIOR DE LOIZA</w:t>
            </w:r>
          </w:p>
        </w:tc>
        <w:tc>
          <w:tcPr>
            <w:tcW w:w="2286" w:type="dxa"/>
            <w:tcBorders>
              <w:top w:val="dashSmallGap" w:sz="4" w:space="0" w:color="auto"/>
              <w:bottom w:val="dashSmallGap" w:sz="4" w:space="0" w:color="auto"/>
            </w:tcBorders>
            <w:shd w:val="clear" w:color="auto" w:fill="auto"/>
            <w:vAlign w:val="bottom"/>
          </w:tcPr>
          <w:p w14:paraId="6BFE6602"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shd w:val="clear" w:color="auto" w:fill="auto"/>
            <w:vAlign w:val="bottom"/>
          </w:tcPr>
          <w:p w14:paraId="199C4C78"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172,217.59</w:t>
            </w:r>
          </w:p>
        </w:tc>
      </w:tr>
      <w:tr w:rsidR="009C0440" w14:paraId="282B3715" w14:textId="77777777" w:rsidTr="000F30C4">
        <w:tc>
          <w:tcPr>
            <w:tcW w:w="891" w:type="dxa"/>
            <w:vMerge/>
            <w:vAlign w:val="center"/>
          </w:tcPr>
          <w:p w14:paraId="3B3B9296" w14:textId="77777777" w:rsidR="009C0440" w:rsidRPr="000C2E17" w:rsidRDefault="009C0440" w:rsidP="007A318E">
            <w:pPr>
              <w:jc w:val="center"/>
              <w:rPr>
                <w:rFonts w:ascii="Arial Narrow" w:hAnsi="Arial Narrow"/>
              </w:rPr>
            </w:pPr>
          </w:p>
        </w:tc>
        <w:tc>
          <w:tcPr>
            <w:tcW w:w="923" w:type="dxa"/>
            <w:tcBorders>
              <w:top w:val="dashSmallGap" w:sz="4" w:space="0" w:color="auto"/>
              <w:bottom w:val="single" w:sz="4" w:space="0" w:color="auto"/>
            </w:tcBorders>
            <w:shd w:val="clear" w:color="auto" w:fill="auto"/>
            <w:vAlign w:val="bottom"/>
          </w:tcPr>
          <w:p w14:paraId="77734EE5" w14:textId="77777777" w:rsidR="009C0440" w:rsidRPr="005F41AB" w:rsidRDefault="009C0440" w:rsidP="007A318E">
            <w:pPr>
              <w:jc w:val="center"/>
              <w:rPr>
                <w:rFonts w:ascii="Calibri" w:hAnsi="Calibri" w:cs="Calibri"/>
                <w:color w:val="000000"/>
              </w:rPr>
            </w:pPr>
            <w:r w:rsidRPr="005F41AB">
              <w:rPr>
                <w:rFonts w:ascii="Calibri" w:hAnsi="Calibri" w:cs="Calibri"/>
                <w:color w:val="000000"/>
              </w:rPr>
              <w:t>33308</w:t>
            </w:r>
          </w:p>
        </w:tc>
        <w:tc>
          <w:tcPr>
            <w:tcW w:w="2341" w:type="dxa"/>
            <w:tcBorders>
              <w:top w:val="dashSmallGap" w:sz="4" w:space="0" w:color="auto"/>
              <w:bottom w:val="single" w:sz="4" w:space="0" w:color="auto"/>
            </w:tcBorders>
            <w:shd w:val="clear" w:color="auto" w:fill="auto"/>
            <w:vAlign w:val="bottom"/>
          </w:tcPr>
          <w:p w14:paraId="1DA68F32" w14:textId="77777777" w:rsidR="009C0440" w:rsidRPr="005F41AB" w:rsidRDefault="009C0440" w:rsidP="007A318E">
            <w:pPr>
              <w:pStyle w:val="ListParagraph"/>
              <w:numPr>
                <w:ilvl w:val="0"/>
                <w:numId w:val="25"/>
              </w:numPr>
              <w:ind w:left="331" w:hanging="331"/>
              <w:rPr>
                <w:rFonts w:ascii="Calibri" w:hAnsi="Calibri" w:cs="Calibri"/>
                <w:color w:val="000000"/>
                <w:sz w:val="20"/>
                <w:szCs w:val="20"/>
              </w:rPr>
            </w:pPr>
            <w:r w:rsidRPr="005F41AB">
              <w:rPr>
                <w:rFonts w:ascii="Calibri" w:hAnsi="Calibri" w:cs="Calibri"/>
                <w:color w:val="000000"/>
                <w:sz w:val="20"/>
                <w:szCs w:val="20"/>
              </w:rPr>
              <w:t>RUFINO VIGO</w:t>
            </w:r>
          </w:p>
        </w:tc>
        <w:tc>
          <w:tcPr>
            <w:tcW w:w="2286" w:type="dxa"/>
            <w:tcBorders>
              <w:top w:val="dashSmallGap" w:sz="4" w:space="0" w:color="auto"/>
              <w:bottom w:val="single" w:sz="4" w:space="0" w:color="auto"/>
            </w:tcBorders>
            <w:shd w:val="clear" w:color="auto" w:fill="auto"/>
            <w:vAlign w:val="bottom"/>
          </w:tcPr>
          <w:p w14:paraId="19D02923"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PRIMARY</w:t>
            </w:r>
          </w:p>
        </w:tc>
        <w:tc>
          <w:tcPr>
            <w:tcW w:w="1294" w:type="dxa"/>
            <w:tcBorders>
              <w:top w:val="dashSmallGap" w:sz="4" w:space="0" w:color="auto"/>
              <w:bottom w:val="single" w:sz="4" w:space="0" w:color="auto"/>
            </w:tcBorders>
            <w:shd w:val="clear" w:color="auto" w:fill="auto"/>
            <w:vAlign w:val="bottom"/>
          </w:tcPr>
          <w:p w14:paraId="61C6F17D" w14:textId="77777777" w:rsidR="009C0440" w:rsidRPr="005F41AB" w:rsidRDefault="009C0440" w:rsidP="007A318E">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104,824.64</w:t>
            </w:r>
          </w:p>
        </w:tc>
      </w:tr>
      <w:tr w:rsidR="009C0440" w14:paraId="17A60B70" w14:textId="77777777" w:rsidTr="000F30C4">
        <w:tc>
          <w:tcPr>
            <w:tcW w:w="891" w:type="dxa"/>
            <w:vMerge w:val="restart"/>
            <w:textDirection w:val="btLr"/>
            <w:vAlign w:val="center"/>
          </w:tcPr>
          <w:p w14:paraId="1CECDEF9" w14:textId="77777777" w:rsidR="009C0440" w:rsidRPr="000C2E17" w:rsidRDefault="009C0440" w:rsidP="007A318E">
            <w:pPr>
              <w:ind w:left="113" w:right="113"/>
              <w:jc w:val="center"/>
              <w:rPr>
                <w:rFonts w:ascii="Arial Narrow" w:hAnsi="Arial Narrow"/>
              </w:rPr>
            </w:pPr>
            <w:r w:rsidRPr="000C2E17">
              <w:rPr>
                <w:rFonts w:ascii="Arial Narrow" w:hAnsi="Arial Narrow"/>
              </w:rPr>
              <w:t>May</w:t>
            </w:r>
          </w:p>
        </w:tc>
        <w:tc>
          <w:tcPr>
            <w:tcW w:w="923" w:type="dxa"/>
            <w:tcBorders>
              <w:bottom w:val="dashSmallGap" w:sz="4" w:space="0" w:color="auto"/>
            </w:tcBorders>
            <w:shd w:val="clear" w:color="auto" w:fill="auto"/>
            <w:vAlign w:val="bottom"/>
          </w:tcPr>
          <w:p w14:paraId="4632AEBA" w14:textId="77777777" w:rsidR="009C0440" w:rsidRPr="005F41AB" w:rsidRDefault="009C0440" w:rsidP="007A318E">
            <w:pPr>
              <w:jc w:val="center"/>
              <w:rPr>
                <w:rFonts w:ascii="Calibri" w:hAnsi="Calibri" w:cs="Calibri"/>
                <w:color w:val="000000"/>
              </w:rPr>
            </w:pPr>
            <w:r w:rsidRPr="005F41AB">
              <w:rPr>
                <w:rFonts w:ascii="Calibri" w:hAnsi="Calibri" w:cs="Calibri"/>
                <w:color w:val="000000"/>
              </w:rPr>
              <w:t>45310</w:t>
            </w:r>
          </w:p>
        </w:tc>
        <w:tc>
          <w:tcPr>
            <w:tcW w:w="2341" w:type="dxa"/>
            <w:tcBorders>
              <w:bottom w:val="dashSmallGap" w:sz="4" w:space="0" w:color="auto"/>
            </w:tcBorders>
            <w:shd w:val="clear" w:color="auto" w:fill="auto"/>
            <w:vAlign w:val="bottom"/>
          </w:tcPr>
          <w:p w14:paraId="2165FF39" w14:textId="77777777" w:rsidR="009C0440" w:rsidRPr="005F41AB" w:rsidRDefault="009C0440" w:rsidP="007A318E">
            <w:pPr>
              <w:pStyle w:val="ListParagraph"/>
              <w:numPr>
                <w:ilvl w:val="0"/>
                <w:numId w:val="25"/>
              </w:numPr>
              <w:ind w:left="331" w:hanging="331"/>
              <w:rPr>
                <w:rFonts w:ascii="Calibri" w:hAnsi="Calibri" w:cs="Calibri"/>
                <w:color w:val="000000"/>
                <w:sz w:val="20"/>
                <w:szCs w:val="20"/>
              </w:rPr>
            </w:pPr>
            <w:r w:rsidRPr="005F41AB">
              <w:rPr>
                <w:rFonts w:ascii="Calibri" w:hAnsi="Calibri" w:cs="Calibri"/>
                <w:color w:val="000000"/>
                <w:sz w:val="20"/>
                <w:szCs w:val="20"/>
              </w:rPr>
              <w:t>CENTRO VOC.  ESPECIAL</w:t>
            </w:r>
          </w:p>
        </w:tc>
        <w:tc>
          <w:tcPr>
            <w:tcW w:w="2286" w:type="dxa"/>
            <w:tcBorders>
              <w:bottom w:val="dashSmallGap" w:sz="4" w:space="0" w:color="auto"/>
            </w:tcBorders>
            <w:shd w:val="clear" w:color="auto" w:fill="auto"/>
            <w:vAlign w:val="bottom"/>
          </w:tcPr>
          <w:p w14:paraId="60FCE587"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ALL</w:t>
            </w:r>
          </w:p>
        </w:tc>
        <w:tc>
          <w:tcPr>
            <w:tcW w:w="1294" w:type="dxa"/>
            <w:tcBorders>
              <w:bottom w:val="dashSmallGap" w:sz="4" w:space="0" w:color="auto"/>
            </w:tcBorders>
            <w:shd w:val="clear" w:color="auto" w:fill="auto"/>
            <w:vAlign w:val="bottom"/>
          </w:tcPr>
          <w:p w14:paraId="60FE523E"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114,699.92</w:t>
            </w:r>
          </w:p>
        </w:tc>
      </w:tr>
      <w:tr w:rsidR="009C0440" w14:paraId="4A771B68" w14:textId="77777777" w:rsidTr="000F30C4">
        <w:tc>
          <w:tcPr>
            <w:tcW w:w="891" w:type="dxa"/>
            <w:vMerge/>
            <w:vAlign w:val="center"/>
          </w:tcPr>
          <w:p w14:paraId="58118547" w14:textId="77777777" w:rsidR="009C0440" w:rsidRPr="000C2E17" w:rsidRDefault="009C0440" w:rsidP="007A318E">
            <w:pPr>
              <w:jc w:val="center"/>
              <w:rPr>
                <w:rFonts w:ascii="Arial Narrow" w:hAnsi="Arial Narrow"/>
              </w:rPr>
            </w:pPr>
          </w:p>
        </w:tc>
        <w:tc>
          <w:tcPr>
            <w:tcW w:w="923" w:type="dxa"/>
            <w:tcBorders>
              <w:top w:val="dashSmallGap" w:sz="4" w:space="0" w:color="auto"/>
              <w:bottom w:val="dashSmallGap" w:sz="4" w:space="0" w:color="auto"/>
            </w:tcBorders>
            <w:shd w:val="clear" w:color="auto" w:fill="auto"/>
            <w:vAlign w:val="bottom"/>
          </w:tcPr>
          <w:p w14:paraId="3332DA79" w14:textId="77777777" w:rsidR="009C0440" w:rsidRPr="005F41AB" w:rsidRDefault="009C0440" w:rsidP="007A318E">
            <w:pPr>
              <w:jc w:val="center"/>
              <w:rPr>
                <w:rFonts w:ascii="Calibri" w:hAnsi="Calibri" w:cs="Calibri"/>
                <w:color w:val="000000"/>
              </w:rPr>
            </w:pPr>
            <w:r w:rsidRPr="005F41AB">
              <w:rPr>
                <w:rFonts w:ascii="Calibri" w:hAnsi="Calibri" w:cs="Calibri"/>
                <w:color w:val="000000"/>
              </w:rPr>
              <w:t>43406</w:t>
            </w:r>
          </w:p>
        </w:tc>
        <w:tc>
          <w:tcPr>
            <w:tcW w:w="2341" w:type="dxa"/>
            <w:tcBorders>
              <w:top w:val="dashSmallGap" w:sz="4" w:space="0" w:color="auto"/>
              <w:bottom w:val="dashSmallGap" w:sz="4" w:space="0" w:color="auto"/>
            </w:tcBorders>
            <w:shd w:val="clear" w:color="auto" w:fill="auto"/>
            <w:vAlign w:val="bottom"/>
          </w:tcPr>
          <w:p w14:paraId="40F41A17" w14:textId="77777777" w:rsidR="009C0440" w:rsidRPr="005F41AB" w:rsidRDefault="009C0440" w:rsidP="007A318E">
            <w:pPr>
              <w:pStyle w:val="ListParagraph"/>
              <w:numPr>
                <w:ilvl w:val="0"/>
                <w:numId w:val="25"/>
              </w:numPr>
              <w:ind w:left="331" w:hanging="331"/>
              <w:rPr>
                <w:rFonts w:ascii="Calibri" w:hAnsi="Calibri" w:cs="Calibri"/>
                <w:color w:val="000000"/>
                <w:sz w:val="20"/>
                <w:szCs w:val="20"/>
              </w:rPr>
            </w:pPr>
            <w:r w:rsidRPr="005F41AB">
              <w:rPr>
                <w:rFonts w:ascii="Calibri" w:hAnsi="Calibri" w:cs="Calibri"/>
                <w:color w:val="000000"/>
                <w:sz w:val="20"/>
                <w:szCs w:val="20"/>
              </w:rPr>
              <w:t>LAURA MERCADO</w:t>
            </w:r>
          </w:p>
        </w:tc>
        <w:tc>
          <w:tcPr>
            <w:tcW w:w="2286" w:type="dxa"/>
            <w:tcBorders>
              <w:top w:val="dashSmallGap" w:sz="4" w:space="0" w:color="auto"/>
              <w:bottom w:val="dashSmallGap" w:sz="4" w:space="0" w:color="auto"/>
            </w:tcBorders>
            <w:shd w:val="clear" w:color="auto" w:fill="auto"/>
            <w:vAlign w:val="bottom"/>
          </w:tcPr>
          <w:p w14:paraId="6F99BECB"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ALL</w:t>
            </w:r>
          </w:p>
        </w:tc>
        <w:tc>
          <w:tcPr>
            <w:tcW w:w="1294" w:type="dxa"/>
            <w:tcBorders>
              <w:top w:val="dashSmallGap" w:sz="4" w:space="0" w:color="auto"/>
              <w:bottom w:val="dashSmallGap" w:sz="4" w:space="0" w:color="auto"/>
            </w:tcBorders>
            <w:shd w:val="clear" w:color="auto" w:fill="auto"/>
            <w:vAlign w:val="bottom"/>
          </w:tcPr>
          <w:p w14:paraId="783954CC"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201,735.26</w:t>
            </w:r>
          </w:p>
        </w:tc>
      </w:tr>
      <w:tr w:rsidR="009C0440" w14:paraId="050E8379" w14:textId="77777777" w:rsidTr="000F30C4">
        <w:tc>
          <w:tcPr>
            <w:tcW w:w="891" w:type="dxa"/>
            <w:vMerge/>
            <w:vAlign w:val="center"/>
          </w:tcPr>
          <w:p w14:paraId="56634404" w14:textId="77777777" w:rsidR="009C0440" w:rsidRPr="000C2E17" w:rsidRDefault="009C0440" w:rsidP="007A318E">
            <w:pPr>
              <w:jc w:val="center"/>
              <w:rPr>
                <w:rFonts w:ascii="Arial Narrow" w:hAnsi="Arial Narrow"/>
              </w:rPr>
            </w:pPr>
          </w:p>
        </w:tc>
        <w:tc>
          <w:tcPr>
            <w:tcW w:w="923" w:type="dxa"/>
            <w:tcBorders>
              <w:top w:val="dashSmallGap" w:sz="4" w:space="0" w:color="auto"/>
              <w:bottom w:val="single" w:sz="4" w:space="0" w:color="auto"/>
            </w:tcBorders>
            <w:shd w:val="clear" w:color="auto" w:fill="auto"/>
            <w:vAlign w:val="bottom"/>
          </w:tcPr>
          <w:p w14:paraId="3935221F" w14:textId="77777777" w:rsidR="009C0440" w:rsidRPr="005F41AB" w:rsidRDefault="009C0440" w:rsidP="007A318E">
            <w:pPr>
              <w:jc w:val="center"/>
              <w:rPr>
                <w:rFonts w:ascii="Calibri" w:eastAsia="Times New Roman" w:hAnsi="Calibri" w:cs="Calibri"/>
                <w:color w:val="000000"/>
              </w:rPr>
            </w:pPr>
            <w:r w:rsidRPr="005F41AB">
              <w:rPr>
                <w:rFonts w:ascii="Calibri" w:eastAsia="Times New Roman" w:hAnsi="Calibri" w:cs="Calibri"/>
                <w:color w:val="000000"/>
              </w:rPr>
              <w:t>44560</w:t>
            </w:r>
          </w:p>
        </w:tc>
        <w:tc>
          <w:tcPr>
            <w:tcW w:w="2341" w:type="dxa"/>
            <w:tcBorders>
              <w:top w:val="dashSmallGap" w:sz="4" w:space="0" w:color="auto"/>
              <w:bottom w:val="single" w:sz="4" w:space="0" w:color="auto"/>
            </w:tcBorders>
            <w:shd w:val="clear" w:color="auto" w:fill="auto"/>
            <w:vAlign w:val="bottom"/>
          </w:tcPr>
          <w:p w14:paraId="466AE2D7" w14:textId="77777777" w:rsidR="009C0440" w:rsidRPr="005F41AB" w:rsidRDefault="009C0440" w:rsidP="007A318E">
            <w:pPr>
              <w:pStyle w:val="ListParagraph"/>
              <w:numPr>
                <w:ilvl w:val="0"/>
                <w:numId w:val="25"/>
              </w:numPr>
              <w:ind w:left="331" w:hanging="331"/>
              <w:rPr>
                <w:rFonts w:ascii="Calibri" w:eastAsia="Times New Roman" w:hAnsi="Calibri" w:cs="Calibri"/>
                <w:color w:val="000000"/>
                <w:sz w:val="20"/>
                <w:szCs w:val="20"/>
              </w:rPr>
            </w:pPr>
            <w:r w:rsidRPr="005F41AB">
              <w:rPr>
                <w:rFonts w:ascii="Calibri" w:eastAsia="Times New Roman" w:hAnsi="Calibri" w:cs="Calibri"/>
                <w:color w:val="000000"/>
                <w:sz w:val="20"/>
                <w:szCs w:val="20"/>
              </w:rPr>
              <w:t>CROEM</w:t>
            </w:r>
          </w:p>
        </w:tc>
        <w:tc>
          <w:tcPr>
            <w:tcW w:w="2286" w:type="dxa"/>
            <w:tcBorders>
              <w:top w:val="dashSmallGap" w:sz="4" w:space="0" w:color="auto"/>
              <w:bottom w:val="single" w:sz="4" w:space="0" w:color="auto"/>
            </w:tcBorders>
            <w:shd w:val="clear" w:color="auto" w:fill="auto"/>
            <w:vAlign w:val="bottom"/>
          </w:tcPr>
          <w:p w14:paraId="0D8D3B4F"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SECUNDARIA</w:t>
            </w:r>
          </w:p>
        </w:tc>
        <w:tc>
          <w:tcPr>
            <w:tcW w:w="1294" w:type="dxa"/>
            <w:tcBorders>
              <w:top w:val="dashSmallGap" w:sz="4" w:space="0" w:color="auto"/>
              <w:bottom w:val="single" w:sz="4" w:space="0" w:color="auto"/>
            </w:tcBorders>
            <w:shd w:val="clear" w:color="auto" w:fill="auto"/>
            <w:vAlign w:val="bottom"/>
          </w:tcPr>
          <w:p w14:paraId="7E28FA12"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280,332.16</w:t>
            </w:r>
          </w:p>
        </w:tc>
      </w:tr>
      <w:tr w:rsidR="009C0440" w14:paraId="27808BE1" w14:textId="77777777" w:rsidTr="000F30C4">
        <w:tc>
          <w:tcPr>
            <w:tcW w:w="891" w:type="dxa"/>
            <w:vMerge w:val="restart"/>
            <w:textDirection w:val="btLr"/>
            <w:vAlign w:val="center"/>
          </w:tcPr>
          <w:p w14:paraId="18D6610C" w14:textId="77777777" w:rsidR="009C0440" w:rsidRPr="000C2E17" w:rsidRDefault="009C0440" w:rsidP="007A318E">
            <w:pPr>
              <w:ind w:left="113" w:right="113"/>
              <w:jc w:val="center"/>
              <w:rPr>
                <w:rFonts w:ascii="Arial Narrow" w:hAnsi="Arial Narrow"/>
              </w:rPr>
            </w:pPr>
            <w:proofErr w:type="spellStart"/>
            <w:r w:rsidRPr="000C2E17">
              <w:rPr>
                <w:rFonts w:ascii="Arial Narrow" w:hAnsi="Arial Narrow"/>
              </w:rPr>
              <w:t>Pon</w:t>
            </w:r>
            <w:proofErr w:type="spellEnd"/>
          </w:p>
        </w:tc>
        <w:tc>
          <w:tcPr>
            <w:tcW w:w="923" w:type="dxa"/>
            <w:tcBorders>
              <w:bottom w:val="dashSmallGap" w:sz="4" w:space="0" w:color="auto"/>
            </w:tcBorders>
            <w:shd w:val="clear" w:color="auto" w:fill="auto"/>
            <w:vAlign w:val="bottom"/>
          </w:tcPr>
          <w:p w14:paraId="7355C3A7" w14:textId="77777777" w:rsidR="009C0440" w:rsidRPr="005F41AB" w:rsidRDefault="009C0440" w:rsidP="007A318E">
            <w:pPr>
              <w:jc w:val="center"/>
              <w:rPr>
                <w:rFonts w:ascii="Calibri" w:hAnsi="Calibri" w:cs="Calibri"/>
                <w:color w:val="000000"/>
              </w:rPr>
            </w:pPr>
            <w:r w:rsidRPr="005F41AB">
              <w:rPr>
                <w:rFonts w:ascii="Calibri" w:hAnsi="Calibri" w:cs="Calibri"/>
                <w:color w:val="000000"/>
              </w:rPr>
              <w:t>52555</w:t>
            </w:r>
          </w:p>
        </w:tc>
        <w:tc>
          <w:tcPr>
            <w:tcW w:w="2341" w:type="dxa"/>
            <w:tcBorders>
              <w:bottom w:val="dashSmallGap" w:sz="4" w:space="0" w:color="auto"/>
            </w:tcBorders>
            <w:shd w:val="clear" w:color="auto" w:fill="auto"/>
            <w:vAlign w:val="bottom"/>
          </w:tcPr>
          <w:p w14:paraId="3C3FC3A5" w14:textId="77777777" w:rsidR="009C0440" w:rsidRPr="005F41AB" w:rsidRDefault="009C0440" w:rsidP="007A318E">
            <w:pPr>
              <w:pStyle w:val="ListParagraph"/>
              <w:numPr>
                <w:ilvl w:val="0"/>
                <w:numId w:val="25"/>
              </w:numPr>
              <w:ind w:left="331" w:hanging="331"/>
              <w:rPr>
                <w:rFonts w:ascii="Calibri" w:hAnsi="Calibri" w:cs="Calibri"/>
                <w:color w:val="000000"/>
                <w:sz w:val="20"/>
                <w:szCs w:val="20"/>
              </w:rPr>
            </w:pPr>
            <w:r w:rsidRPr="005F41AB">
              <w:rPr>
                <w:rFonts w:ascii="Calibri" w:hAnsi="Calibri" w:cs="Calibri"/>
                <w:color w:val="000000"/>
                <w:sz w:val="20"/>
                <w:szCs w:val="20"/>
              </w:rPr>
              <w:t>RAMON MARIN</w:t>
            </w:r>
          </w:p>
        </w:tc>
        <w:tc>
          <w:tcPr>
            <w:tcW w:w="2286" w:type="dxa"/>
            <w:tcBorders>
              <w:bottom w:val="dashSmallGap" w:sz="4" w:space="0" w:color="auto"/>
            </w:tcBorders>
            <w:shd w:val="clear" w:color="auto" w:fill="auto"/>
            <w:vAlign w:val="bottom"/>
          </w:tcPr>
          <w:p w14:paraId="75417305"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ALL</w:t>
            </w:r>
          </w:p>
        </w:tc>
        <w:tc>
          <w:tcPr>
            <w:tcW w:w="1294" w:type="dxa"/>
            <w:tcBorders>
              <w:bottom w:val="dashSmallGap" w:sz="4" w:space="0" w:color="auto"/>
            </w:tcBorders>
            <w:shd w:val="clear" w:color="auto" w:fill="auto"/>
            <w:vAlign w:val="bottom"/>
          </w:tcPr>
          <w:p w14:paraId="6AE67E1A" w14:textId="77777777" w:rsidR="009C0440" w:rsidRPr="005F41AB" w:rsidRDefault="009C0440" w:rsidP="007A318E">
            <w:pPr>
              <w:jc w:val="center"/>
              <w:rPr>
                <w:rFonts w:ascii="Calibri" w:hAnsi="Calibri" w:cs="Calibri"/>
                <w:color w:val="000000"/>
                <w:sz w:val="20"/>
                <w:szCs w:val="20"/>
              </w:rPr>
            </w:pPr>
            <w:r w:rsidRPr="005F41AB">
              <w:rPr>
                <w:rFonts w:ascii="Calibri" w:hAnsi="Calibri" w:cs="Calibri"/>
                <w:color w:val="000000"/>
                <w:sz w:val="20"/>
                <w:szCs w:val="20"/>
              </w:rPr>
              <w:t>119,966.29</w:t>
            </w:r>
          </w:p>
        </w:tc>
      </w:tr>
      <w:tr w:rsidR="009C0440" w14:paraId="7993252B" w14:textId="77777777" w:rsidTr="000F30C4">
        <w:tc>
          <w:tcPr>
            <w:tcW w:w="891" w:type="dxa"/>
            <w:vMerge/>
            <w:vAlign w:val="center"/>
          </w:tcPr>
          <w:p w14:paraId="098307E4" w14:textId="77777777" w:rsidR="009C0440" w:rsidRPr="000C2E17" w:rsidRDefault="009C0440" w:rsidP="007A318E">
            <w:pPr>
              <w:jc w:val="center"/>
              <w:rPr>
                <w:rFonts w:ascii="Arial Narrow" w:hAnsi="Arial Narrow"/>
              </w:rPr>
            </w:pPr>
          </w:p>
        </w:tc>
        <w:tc>
          <w:tcPr>
            <w:tcW w:w="923" w:type="dxa"/>
            <w:tcBorders>
              <w:top w:val="dashSmallGap" w:sz="4" w:space="0" w:color="auto"/>
              <w:bottom w:val="dashSmallGap" w:sz="4" w:space="0" w:color="auto"/>
            </w:tcBorders>
            <w:shd w:val="clear" w:color="auto" w:fill="auto"/>
            <w:vAlign w:val="bottom"/>
          </w:tcPr>
          <w:p w14:paraId="02D25E71" w14:textId="77777777" w:rsidR="009C0440" w:rsidRPr="005F41AB" w:rsidRDefault="009C0440" w:rsidP="007A318E">
            <w:pPr>
              <w:jc w:val="center"/>
              <w:rPr>
                <w:rFonts w:ascii="Calibri" w:hAnsi="Calibri" w:cs="Calibri"/>
                <w:color w:val="000000"/>
              </w:rPr>
            </w:pPr>
            <w:r w:rsidRPr="005F41AB">
              <w:rPr>
                <w:rFonts w:ascii="Calibri" w:hAnsi="Calibri" w:cs="Calibri"/>
                <w:color w:val="000000"/>
              </w:rPr>
              <w:t>51763</w:t>
            </w:r>
          </w:p>
        </w:tc>
        <w:tc>
          <w:tcPr>
            <w:tcW w:w="2341" w:type="dxa"/>
            <w:tcBorders>
              <w:top w:val="dashSmallGap" w:sz="4" w:space="0" w:color="auto"/>
              <w:bottom w:val="dashSmallGap" w:sz="4" w:space="0" w:color="auto"/>
            </w:tcBorders>
            <w:shd w:val="clear" w:color="auto" w:fill="auto"/>
            <w:vAlign w:val="bottom"/>
          </w:tcPr>
          <w:p w14:paraId="5B7DD9C2" w14:textId="77777777" w:rsidR="009C0440" w:rsidRPr="005F41AB" w:rsidRDefault="009C0440" w:rsidP="007A318E">
            <w:pPr>
              <w:pStyle w:val="ListParagraph"/>
              <w:numPr>
                <w:ilvl w:val="0"/>
                <w:numId w:val="25"/>
              </w:numPr>
              <w:ind w:left="331" w:hanging="331"/>
              <w:rPr>
                <w:rFonts w:ascii="Calibri" w:hAnsi="Calibri" w:cs="Calibri"/>
                <w:color w:val="000000"/>
                <w:sz w:val="20"/>
                <w:szCs w:val="20"/>
              </w:rPr>
            </w:pPr>
            <w:r w:rsidRPr="005F41AB">
              <w:rPr>
                <w:rFonts w:ascii="Calibri" w:hAnsi="Calibri" w:cs="Calibri"/>
                <w:color w:val="000000"/>
                <w:sz w:val="20"/>
                <w:szCs w:val="20"/>
              </w:rPr>
              <w:t>LUIS MUÑOZ MARIN</w:t>
            </w:r>
          </w:p>
        </w:tc>
        <w:tc>
          <w:tcPr>
            <w:tcW w:w="2286" w:type="dxa"/>
            <w:tcBorders>
              <w:top w:val="dashSmallGap" w:sz="4" w:space="0" w:color="auto"/>
              <w:bottom w:val="dashSmallGap" w:sz="4" w:space="0" w:color="auto"/>
            </w:tcBorders>
            <w:shd w:val="clear" w:color="auto" w:fill="auto"/>
            <w:vAlign w:val="bottom"/>
          </w:tcPr>
          <w:p w14:paraId="0617D6FA"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ALL</w:t>
            </w:r>
          </w:p>
        </w:tc>
        <w:tc>
          <w:tcPr>
            <w:tcW w:w="1294" w:type="dxa"/>
            <w:tcBorders>
              <w:top w:val="dashSmallGap" w:sz="4" w:space="0" w:color="auto"/>
              <w:bottom w:val="dashSmallGap" w:sz="4" w:space="0" w:color="auto"/>
            </w:tcBorders>
            <w:shd w:val="clear" w:color="auto" w:fill="auto"/>
            <w:vAlign w:val="bottom"/>
          </w:tcPr>
          <w:p w14:paraId="5B9EE3B9" w14:textId="77777777" w:rsidR="009C0440" w:rsidRPr="005F41AB" w:rsidRDefault="009C0440" w:rsidP="007A318E">
            <w:pPr>
              <w:jc w:val="center"/>
              <w:rPr>
                <w:rFonts w:ascii="Calibri" w:hAnsi="Calibri" w:cs="Calibri"/>
                <w:color w:val="000000"/>
                <w:sz w:val="20"/>
                <w:szCs w:val="20"/>
              </w:rPr>
            </w:pPr>
            <w:r w:rsidRPr="005F41AB">
              <w:rPr>
                <w:rFonts w:ascii="Calibri" w:hAnsi="Calibri" w:cs="Calibri"/>
                <w:color w:val="000000"/>
                <w:sz w:val="20"/>
                <w:szCs w:val="20"/>
              </w:rPr>
              <w:t>140,263.78</w:t>
            </w:r>
          </w:p>
        </w:tc>
      </w:tr>
      <w:tr w:rsidR="000F30C4" w14:paraId="5A5EF3A0" w14:textId="77777777" w:rsidTr="00455A9F">
        <w:tc>
          <w:tcPr>
            <w:tcW w:w="891" w:type="dxa"/>
            <w:vMerge/>
            <w:vAlign w:val="center"/>
          </w:tcPr>
          <w:p w14:paraId="1D05D138" w14:textId="77777777" w:rsidR="000F30C4" w:rsidRPr="000C2E17" w:rsidRDefault="000F30C4" w:rsidP="000F30C4">
            <w:pPr>
              <w:jc w:val="center"/>
              <w:rPr>
                <w:rFonts w:ascii="Arial Narrow" w:hAnsi="Arial Narrow"/>
              </w:rPr>
            </w:pPr>
          </w:p>
        </w:tc>
        <w:tc>
          <w:tcPr>
            <w:tcW w:w="923" w:type="dxa"/>
            <w:tcBorders>
              <w:top w:val="dashSmallGap" w:sz="4" w:space="0" w:color="auto"/>
              <w:bottom w:val="dashSmallGap" w:sz="4" w:space="0" w:color="auto"/>
            </w:tcBorders>
            <w:shd w:val="clear" w:color="auto" w:fill="auto"/>
            <w:vAlign w:val="bottom"/>
          </w:tcPr>
          <w:p w14:paraId="033808B8" w14:textId="77777777" w:rsidR="000F30C4" w:rsidRPr="005F41AB" w:rsidRDefault="000F30C4" w:rsidP="000F30C4">
            <w:pPr>
              <w:jc w:val="center"/>
              <w:rPr>
                <w:rFonts w:ascii="Calibri" w:eastAsia="Times New Roman" w:hAnsi="Calibri" w:cs="Calibri"/>
                <w:color w:val="000000"/>
              </w:rPr>
            </w:pPr>
            <w:r w:rsidRPr="005F41AB">
              <w:rPr>
                <w:rFonts w:ascii="Calibri" w:eastAsia="Times New Roman" w:hAnsi="Calibri" w:cs="Calibri"/>
                <w:color w:val="000000"/>
              </w:rPr>
              <w:t>52696</w:t>
            </w:r>
          </w:p>
        </w:tc>
        <w:tc>
          <w:tcPr>
            <w:tcW w:w="2341" w:type="dxa"/>
            <w:tcBorders>
              <w:top w:val="dashSmallGap" w:sz="4" w:space="0" w:color="auto"/>
              <w:bottom w:val="dashSmallGap" w:sz="4" w:space="0" w:color="auto"/>
            </w:tcBorders>
            <w:shd w:val="clear" w:color="auto" w:fill="auto"/>
            <w:vAlign w:val="bottom"/>
          </w:tcPr>
          <w:p w14:paraId="17B3373D" w14:textId="77777777" w:rsidR="000F30C4" w:rsidRPr="005F41AB" w:rsidRDefault="000F30C4" w:rsidP="000F30C4">
            <w:pPr>
              <w:pStyle w:val="ListParagraph"/>
              <w:numPr>
                <w:ilvl w:val="0"/>
                <w:numId w:val="25"/>
              </w:numPr>
              <w:ind w:left="331" w:hanging="331"/>
              <w:rPr>
                <w:rFonts w:ascii="Calibri" w:eastAsia="Times New Roman" w:hAnsi="Calibri" w:cs="Calibri"/>
                <w:color w:val="000000"/>
                <w:sz w:val="20"/>
                <w:szCs w:val="20"/>
              </w:rPr>
            </w:pPr>
            <w:r w:rsidRPr="005F41AB">
              <w:rPr>
                <w:rFonts w:ascii="Calibri" w:eastAsia="Times New Roman" w:hAnsi="Calibri" w:cs="Calibri"/>
                <w:color w:val="000000"/>
                <w:sz w:val="20"/>
                <w:szCs w:val="20"/>
              </w:rPr>
              <w:t xml:space="preserve">BERNARDINO CORDERO </w:t>
            </w:r>
          </w:p>
        </w:tc>
        <w:tc>
          <w:tcPr>
            <w:tcW w:w="2286" w:type="dxa"/>
            <w:tcBorders>
              <w:top w:val="dashSmallGap" w:sz="4" w:space="0" w:color="auto"/>
              <w:bottom w:val="dashSmallGap" w:sz="4" w:space="0" w:color="auto"/>
            </w:tcBorders>
            <w:shd w:val="clear" w:color="auto" w:fill="auto"/>
          </w:tcPr>
          <w:p w14:paraId="515AE213" w14:textId="461F5D44" w:rsidR="000F30C4" w:rsidRPr="005F41AB" w:rsidRDefault="000F30C4" w:rsidP="000F30C4">
            <w:pPr>
              <w:jc w:val="center"/>
              <w:rPr>
                <w:rFonts w:ascii="Calibri" w:eastAsia="Times New Roman" w:hAnsi="Calibri" w:cs="Calibri"/>
                <w:color w:val="000000"/>
                <w:sz w:val="20"/>
                <w:szCs w:val="20"/>
              </w:rPr>
            </w:pPr>
            <w:r w:rsidRPr="009A31C8">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shd w:val="clear" w:color="auto" w:fill="auto"/>
            <w:vAlign w:val="bottom"/>
          </w:tcPr>
          <w:p w14:paraId="269FC540" w14:textId="77777777" w:rsidR="000F30C4" w:rsidRPr="005F41AB" w:rsidRDefault="000F30C4" w:rsidP="000F30C4">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233,117.54</w:t>
            </w:r>
          </w:p>
        </w:tc>
      </w:tr>
      <w:tr w:rsidR="000F30C4" w14:paraId="501B0EAE" w14:textId="77777777" w:rsidTr="00455A9F">
        <w:tc>
          <w:tcPr>
            <w:tcW w:w="891" w:type="dxa"/>
            <w:vMerge/>
            <w:vAlign w:val="center"/>
          </w:tcPr>
          <w:p w14:paraId="07B536FE" w14:textId="77777777" w:rsidR="000F30C4" w:rsidRPr="000C2E17" w:rsidRDefault="000F30C4" w:rsidP="000F30C4">
            <w:pPr>
              <w:jc w:val="center"/>
              <w:rPr>
                <w:rFonts w:ascii="Arial Narrow" w:hAnsi="Arial Narrow"/>
              </w:rPr>
            </w:pPr>
          </w:p>
        </w:tc>
        <w:tc>
          <w:tcPr>
            <w:tcW w:w="923" w:type="dxa"/>
            <w:tcBorders>
              <w:top w:val="dashSmallGap" w:sz="4" w:space="0" w:color="auto"/>
              <w:bottom w:val="single" w:sz="4" w:space="0" w:color="auto"/>
            </w:tcBorders>
            <w:shd w:val="clear" w:color="auto" w:fill="auto"/>
            <w:vAlign w:val="bottom"/>
          </w:tcPr>
          <w:p w14:paraId="4E0B5709" w14:textId="77777777" w:rsidR="000F30C4" w:rsidRPr="005F41AB" w:rsidRDefault="000F30C4" w:rsidP="000F30C4">
            <w:pPr>
              <w:jc w:val="center"/>
              <w:rPr>
                <w:rFonts w:ascii="Calibri" w:eastAsia="Times New Roman" w:hAnsi="Calibri" w:cs="Calibri"/>
                <w:color w:val="000000"/>
              </w:rPr>
            </w:pPr>
            <w:r w:rsidRPr="005F41AB">
              <w:rPr>
                <w:rFonts w:ascii="Calibri" w:eastAsia="Times New Roman" w:hAnsi="Calibri" w:cs="Calibri"/>
                <w:color w:val="000000"/>
              </w:rPr>
              <w:t>55244</w:t>
            </w:r>
          </w:p>
        </w:tc>
        <w:tc>
          <w:tcPr>
            <w:tcW w:w="2341" w:type="dxa"/>
            <w:tcBorders>
              <w:top w:val="dashSmallGap" w:sz="4" w:space="0" w:color="auto"/>
              <w:bottom w:val="single" w:sz="4" w:space="0" w:color="auto"/>
            </w:tcBorders>
            <w:shd w:val="clear" w:color="auto" w:fill="auto"/>
            <w:vAlign w:val="bottom"/>
          </w:tcPr>
          <w:p w14:paraId="2416C6EB" w14:textId="77777777" w:rsidR="000F30C4" w:rsidRPr="005F41AB" w:rsidRDefault="000F30C4" w:rsidP="000F30C4">
            <w:pPr>
              <w:pStyle w:val="ListParagraph"/>
              <w:numPr>
                <w:ilvl w:val="0"/>
                <w:numId w:val="25"/>
              </w:numPr>
              <w:ind w:left="331" w:hanging="331"/>
              <w:rPr>
                <w:rFonts w:ascii="Calibri" w:eastAsia="Times New Roman" w:hAnsi="Calibri" w:cs="Calibri"/>
                <w:color w:val="000000"/>
                <w:sz w:val="20"/>
                <w:szCs w:val="20"/>
                <w:lang w:val="es-PR"/>
              </w:rPr>
            </w:pPr>
            <w:r w:rsidRPr="005F41AB">
              <w:rPr>
                <w:rFonts w:ascii="Calibri" w:eastAsia="Times New Roman" w:hAnsi="Calibri" w:cs="Calibri"/>
                <w:color w:val="000000"/>
                <w:sz w:val="20"/>
                <w:szCs w:val="20"/>
                <w:lang w:val="es-PR"/>
              </w:rPr>
              <w:t>SUP. OCUP Y TECN DE YAUCO</w:t>
            </w:r>
          </w:p>
        </w:tc>
        <w:tc>
          <w:tcPr>
            <w:tcW w:w="2286" w:type="dxa"/>
            <w:tcBorders>
              <w:top w:val="dashSmallGap" w:sz="4" w:space="0" w:color="auto"/>
              <w:bottom w:val="single" w:sz="4" w:space="0" w:color="auto"/>
            </w:tcBorders>
            <w:shd w:val="clear" w:color="auto" w:fill="auto"/>
          </w:tcPr>
          <w:p w14:paraId="18D9E643" w14:textId="3C49DDCF" w:rsidR="000F30C4" w:rsidRPr="005F41AB" w:rsidRDefault="000F30C4" w:rsidP="000F30C4">
            <w:pPr>
              <w:jc w:val="center"/>
              <w:rPr>
                <w:rFonts w:ascii="Calibri" w:eastAsia="Times New Roman" w:hAnsi="Calibri" w:cs="Calibri"/>
                <w:color w:val="000000"/>
                <w:sz w:val="20"/>
                <w:szCs w:val="20"/>
              </w:rPr>
            </w:pPr>
            <w:r w:rsidRPr="009A31C8">
              <w:rPr>
                <w:rFonts w:ascii="Calibri" w:eastAsia="Times New Roman" w:hAnsi="Calibri" w:cs="Calibri"/>
                <w:color w:val="000000"/>
                <w:sz w:val="20"/>
                <w:szCs w:val="20"/>
              </w:rPr>
              <w:t>SECONDARY</w:t>
            </w:r>
          </w:p>
        </w:tc>
        <w:tc>
          <w:tcPr>
            <w:tcW w:w="1294" w:type="dxa"/>
            <w:tcBorders>
              <w:top w:val="dashSmallGap" w:sz="4" w:space="0" w:color="auto"/>
              <w:bottom w:val="single" w:sz="4" w:space="0" w:color="auto"/>
            </w:tcBorders>
            <w:shd w:val="clear" w:color="auto" w:fill="auto"/>
            <w:vAlign w:val="bottom"/>
          </w:tcPr>
          <w:p w14:paraId="7A63575A" w14:textId="77777777" w:rsidR="000F30C4" w:rsidRPr="005F41AB" w:rsidRDefault="000F30C4" w:rsidP="000F30C4">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225,274.94</w:t>
            </w:r>
          </w:p>
        </w:tc>
      </w:tr>
      <w:tr w:rsidR="000F30C4" w14:paraId="1168EAB6" w14:textId="77777777" w:rsidTr="00455A9F">
        <w:tc>
          <w:tcPr>
            <w:tcW w:w="891" w:type="dxa"/>
            <w:vMerge w:val="restart"/>
            <w:textDirection w:val="btLr"/>
            <w:vAlign w:val="center"/>
          </w:tcPr>
          <w:p w14:paraId="390F1422" w14:textId="77777777" w:rsidR="000F30C4" w:rsidRPr="000C2E17" w:rsidRDefault="000F30C4" w:rsidP="000F30C4">
            <w:pPr>
              <w:ind w:left="113" w:right="113"/>
              <w:jc w:val="center"/>
              <w:rPr>
                <w:rFonts w:ascii="Arial Narrow" w:hAnsi="Arial Narrow"/>
              </w:rPr>
            </w:pPr>
            <w:proofErr w:type="spellStart"/>
            <w:r w:rsidRPr="000C2E17">
              <w:rPr>
                <w:rFonts w:ascii="Arial Narrow" w:hAnsi="Arial Narrow"/>
              </w:rPr>
              <w:t>SJ</w:t>
            </w:r>
            <w:r>
              <w:rPr>
                <w:rFonts w:ascii="Arial Narrow" w:hAnsi="Arial Narrow"/>
              </w:rPr>
              <w:t>uan</w:t>
            </w:r>
            <w:proofErr w:type="spellEnd"/>
          </w:p>
        </w:tc>
        <w:tc>
          <w:tcPr>
            <w:tcW w:w="923" w:type="dxa"/>
            <w:tcBorders>
              <w:bottom w:val="dashSmallGap" w:sz="4" w:space="0" w:color="auto"/>
            </w:tcBorders>
            <w:shd w:val="clear" w:color="auto" w:fill="auto"/>
            <w:vAlign w:val="bottom"/>
          </w:tcPr>
          <w:p w14:paraId="12843DE9" w14:textId="77777777" w:rsidR="000F30C4" w:rsidRPr="005F41AB" w:rsidRDefault="000F30C4" w:rsidP="000F30C4">
            <w:pPr>
              <w:jc w:val="center"/>
              <w:rPr>
                <w:rFonts w:ascii="Calibri" w:eastAsia="Times New Roman" w:hAnsi="Calibri" w:cs="Calibri"/>
                <w:color w:val="000000"/>
              </w:rPr>
            </w:pPr>
            <w:r w:rsidRPr="005F41AB">
              <w:rPr>
                <w:rFonts w:ascii="Calibri" w:eastAsia="Times New Roman" w:hAnsi="Calibri" w:cs="Calibri"/>
                <w:color w:val="000000"/>
              </w:rPr>
              <w:t>62901</w:t>
            </w:r>
          </w:p>
        </w:tc>
        <w:tc>
          <w:tcPr>
            <w:tcW w:w="2341" w:type="dxa"/>
            <w:tcBorders>
              <w:bottom w:val="dashSmallGap" w:sz="4" w:space="0" w:color="auto"/>
            </w:tcBorders>
            <w:shd w:val="clear" w:color="auto" w:fill="auto"/>
            <w:vAlign w:val="bottom"/>
          </w:tcPr>
          <w:p w14:paraId="7647DA26" w14:textId="77777777" w:rsidR="000F30C4" w:rsidRPr="005F41AB" w:rsidRDefault="000F30C4" w:rsidP="000F30C4">
            <w:pPr>
              <w:pStyle w:val="ListParagraph"/>
              <w:numPr>
                <w:ilvl w:val="0"/>
                <w:numId w:val="25"/>
              </w:numPr>
              <w:ind w:left="331" w:hanging="331"/>
              <w:rPr>
                <w:rFonts w:ascii="Calibri" w:eastAsia="Times New Roman" w:hAnsi="Calibri" w:cs="Calibri"/>
                <w:color w:val="000000"/>
                <w:sz w:val="20"/>
                <w:szCs w:val="20"/>
              </w:rPr>
            </w:pPr>
            <w:r w:rsidRPr="005F41AB">
              <w:rPr>
                <w:rFonts w:ascii="Calibri" w:eastAsia="Times New Roman" w:hAnsi="Calibri" w:cs="Calibri"/>
                <w:color w:val="000000"/>
                <w:sz w:val="20"/>
                <w:szCs w:val="20"/>
              </w:rPr>
              <w:t>INES MARIA MENDOZA</w:t>
            </w:r>
          </w:p>
        </w:tc>
        <w:tc>
          <w:tcPr>
            <w:tcW w:w="2286" w:type="dxa"/>
            <w:tcBorders>
              <w:bottom w:val="dashSmallGap" w:sz="4" w:space="0" w:color="auto"/>
            </w:tcBorders>
            <w:shd w:val="clear" w:color="auto" w:fill="auto"/>
          </w:tcPr>
          <w:p w14:paraId="3D88E116" w14:textId="78CF1B72" w:rsidR="000F30C4" w:rsidRPr="005F41AB" w:rsidRDefault="000F30C4" w:rsidP="000F30C4">
            <w:pPr>
              <w:jc w:val="center"/>
              <w:rPr>
                <w:rFonts w:ascii="Calibri" w:eastAsia="Times New Roman" w:hAnsi="Calibri" w:cs="Calibri"/>
                <w:color w:val="000000"/>
                <w:sz w:val="20"/>
                <w:szCs w:val="20"/>
              </w:rPr>
            </w:pPr>
            <w:r w:rsidRPr="009A31C8">
              <w:rPr>
                <w:rFonts w:ascii="Calibri" w:eastAsia="Times New Roman" w:hAnsi="Calibri" w:cs="Calibri"/>
                <w:color w:val="000000"/>
                <w:sz w:val="20"/>
                <w:szCs w:val="20"/>
              </w:rPr>
              <w:t>SECONDARY</w:t>
            </w:r>
          </w:p>
        </w:tc>
        <w:tc>
          <w:tcPr>
            <w:tcW w:w="1294" w:type="dxa"/>
            <w:tcBorders>
              <w:bottom w:val="dashSmallGap" w:sz="4" w:space="0" w:color="auto"/>
            </w:tcBorders>
            <w:shd w:val="clear" w:color="auto" w:fill="auto"/>
            <w:vAlign w:val="bottom"/>
          </w:tcPr>
          <w:p w14:paraId="472FD771" w14:textId="77777777" w:rsidR="000F30C4" w:rsidRPr="005F41AB" w:rsidRDefault="000F30C4" w:rsidP="000F30C4">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279,300.59</w:t>
            </w:r>
          </w:p>
        </w:tc>
      </w:tr>
      <w:tr w:rsidR="000F30C4" w14:paraId="0D45E5DA" w14:textId="77777777" w:rsidTr="00455A9F">
        <w:tc>
          <w:tcPr>
            <w:tcW w:w="891" w:type="dxa"/>
            <w:vMerge/>
          </w:tcPr>
          <w:p w14:paraId="010107BC" w14:textId="77777777" w:rsidR="000F30C4" w:rsidRDefault="000F30C4" w:rsidP="000F30C4"/>
        </w:tc>
        <w:tc>
          <w:tcPr>
            <w:tcW w:w="923" w:type="dxa"/>
            <w:tcBorders>
              <w:top w:val="dashSmallGap" w:sz="4" w:space="0" w:color="auto"/>
              <w:bottom w:val="dashSmallGap" w:sz="4" w:space="0" w:color="auto"/>
            </w:tcBorders>
            <w:shd w:val="clear" w:color="auto" w:fill="auto"/>
            <w:vAlign w:val="bottom"/>
          </w:tcPr>
          <w:p w14:paraId="1F9272F1" w14:textId="77777777" w:rsidR="000F30C4" w:rsidRPr="005F41AB" w:rsidRDefault="000F30C4" w:rsidP="000F30C4">
            <w:pPr>
              <w:jc w:val="center"/>
              <w:rPr>
                <w:rFonts w:ascii="Calibri" w:eastAsia="Times New Roman" w:hAnsi="Calibri" w:cs="Calibri"/>
                <w:color w:val="000000"/>
              </w:rPr>
            </w:pPr>
            <w:r w:rsidRPr="005F41AB">
              <w:rPr>
                <w:rFonts w:ascii="Calibri" w:eastAsia="Times New Roman" w:hAnsi="Calibri" w:cs="Calibri"/>
                <w:color w:val="000000"/>
              </w:rPr>
              <w:t>69930</w:t>
            </w:r>
          </w:p>
        </w:tc>
        <w:tc>
          <w:tcPr>
            <w:tcW w:w="2341" w:type="dxa"/>
            <w:tcBorders>
              <w:top w:val="dashSmallGap" w:sz="4" w:space="0" w:color="auto"/>
              <w:bottom w:val="dashSmallGap" w:sz="4" w:space="0" w:color="auto"/>
            </w:tcBorders>
            <w:shd w:val="clear" w:color="auto" w:fill="auto"/>
            <w:vAlign w:val="bottom"/>
          </w:tcPr>
          <w:p w14:paraId="50505181" w14:textId="77777777" w:rsidR="000F30C4" w:rsidRPr="005F41AB" w:rsidRDefault="000F30C4" w:rsidP="000F30C4">
            <w:pPr>
              <w:pStyle w:val="ListParagraph"/>
              <w:numPr>
                <w:ilvl w:val="0"/>
                <w:numId w:val="25"/>
              </w:numPr>
              <w:ind w:left="331" w:hanging="331"/>
              <w:rPr>
                <w:rFonts w:ascii="Calibri" w:eastAsia="Times New Roman" w:hAnsi="Calibri" w:cs="Calibri"/>
                <w:color w:val="000000"/>
                <w:sz w:val="18"/>
                <w:szCs w:val="18"/>
              </w:rPr>
            </w:pPr>
            <w:r w:rsidRPr="005F41AB">
              <w:rPr>
                <w:rFonts w:ascii="Calibri" w:eastAsia="Times New Roman" w:hAnsi="Calibri" w:cs="Calibri"/>
                <w:color w:val="000000"/>
                <w:sz w:val="18"/>
                <w:szCs w:val="18"/>
              </w:rPr>
              <w:t>G. CONCEPCION DE GRACIA</w:t>
            </w:r>
          </w:p>
        </w:tc>
        <w:tc>
          <w:tcPr>
            <w:tcW w:w="2286" w:type="dxa"/>
            <w:tcBorders>
              <w:top w:val="dashSmallGap" w:sz="4" w:space="0" w:color="auto"/>
              <w:bottom w:val="dashSmallGap" w:sz="4" w:space="0" w:color="auto"/>
            </w:tcBorders>
            <w:shd w:val="clear" w:color="auto" w:fill="auto"/>
          </w:tcPr>
          <w:p w14:paraId="3453B1EB" w14:textId="3C5CEF08" w:rsidR="000F30C4" w:rsidRPr="005F41AB" w:rsidRDefault="000F30C4" w:rsidP="000F30C4">
            <w:pPr>
              <w:jc w:val="center"/>
              <w:rPr>
                <w:rFonts w:ascii="Calibri" w:eastAsia="Times New Roman" w:hAnsi="Calibri" w:cs="Calibri"/>
                <w:color w:val="000000"/>
                <w:sz w:val="20"/>
                <w:szCs w:val="20"/>
              </w:rPr>
            </w:pPr>
            <w:r w:rsidRPr="009A31C8">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shd w:val="clear" w:color="auto" w:fill="auto"/>
            <w:vAlign w:val="bottom"/>
          </w:tcPr>
          <w:p w14:paraId="09DD63AF" w14:textId="77777777" w:rsidR="000F30C4" w:rsidRPr="005F41AB" w:rsidRDefault="000F30C4" w:rsidP="000F30C4">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274,530.60</w:t>
            </w:r>
          </w:p>
        </w:tc>
      </w:tr>
      <w:tr w:rsidR="009C0440" w14:paraId="21A3E160" w14:textId="77777777" w:rsidTr="000F30C4">
        <w:tc>
          <w:tcPr>
            <w:tcW w:w="891" w:type="dxa"/>
            <w:vMerge/>
          </w:tcPr>
          <w:p w14:paraId="4D8F954A" w14:textId="77777777" w:rsidR="009C0440" w:rsidRDefault="009C0440" w:rsidP="007A318E"/>
        </w:tc>
        <w:tc>
          <w:tcPr>
            <w:tcW w:w="923" w:type="dxa"/>
            <w:tcBorders>
              <w:top w:val="dashSmallGap" w:sz="4" w:space="0" w:color="auto"/>
              <w:bottom w:val="dashSmallGap" w:sz="4" w:space="0" w:color="auto"/>
            </w:tcBorders>
            <w:shd w:val="clear" w:color="auto" w:fill="auto"/>
            <w:vAlign w:val="bottom"/>
          </w:tcPr>
          <w:p w14:paraId="185F2176" w14:textId="77777777" w:rsidR="009C0440" w:rsidRPr="005F41AB" w:rsidRDefault="009C0440" w:rsidP="007A318E">
            <w:pPr>
              <w:jc w:val="center"/>
              <w:rPr>
                <w:rFonts w:ascii="Calibri" w:eastAsia="Times New Roman" w:hAnsi="Calibri" w:cs="Calibri"/>
                <w:color w:val="000000"/>
              </w:rPr>
            </w:pPr>
            <w:r w:rsidRPr="005F41AB">
              <w:rPr>
                <w:rFonts w:ascii="Calibri" w:eastAsia="Times New Roman" w:hAnsi="Calibri" w:cs="Calibri"/>
                <w:color w:val="000000"/>
              </w:rPr>
              <w:t>62893</w:t>
            </w:r>
          </w:p>
        </w:tc>
        <w:tc>
          <w:tcPr>
            <w:tcW w:w="2341" w:type="dxa"/>
            <w:tcBorders>
              <w:top w:val="dashSmallGap" w:sz="4" w:space="0" w:color="auto"/>
              <w:bottom w:val="dashSmallGap" w:sz="4" w:space="0" w:color="auto"/>
            </w:tcBorders>
            <w:shd w:val="clear" w:color="auto" w:fill="auto"/>
            <w:vAlign w:val="bottom"/>
          </w:tcPr>
          <w:p w14:paraId="14935CB9" w14:textId="647D80E6" w:rsidR="009C0440" w:rsidRPr="005F41AB" w:rsidRDefault="009C0440" w:rsidP="007A318E">
            <w:pPr>
              <w:pStyle w:val="ListParagraph"/>
              <w:numPr>
                <w:ilvl w:val="0"/>
                <w:numId w:val="25"/>
              </w:numPr>
              <w:ind w:left="331" w:hanging="331"/>
              <w:rPr>
                <w:rFonts w:ascii="Calibri" w:eastAsia="Times New Roman" w:hAnsi="Calibri" w:cs="Calibri"/>
                <w:color w:val="000000"/>
                <w:sz w:val="18"/>
                <w:szCs w:val="18"/>
              </w:rPr>
            </w:pPr>
            <w:r w:rsidRPr="005F41AB">
              <w:rPr>
                <w:rFonts w:ascii="Calibri" w:eastAsia="Times New Roman" w:hAnsi="Calibri" w:cs="Calibri"/>
                <w:color w:val="000000"/>
                <w:sz w:val="18"/>
                <w:szCs w:val="18"/>
              </w:rPr>
              <w:t>JUAN ANTONIO CORRETJER</w:t>
            </w:r>
          </w:p>
        </w:tc>
        <w:tc>
          <w:tcPr>
            <w:tcW w:w="2286" w:type="dxa"/>
            <w:tcBorders>
              <w:top w:val="dashSmallGap" w:sz="4" w:space="0" w:color="auto"/>
              <w:bottom w:val="dashSmallGap" w:sz="4" w:space="0" w:color="auto"/>
            </w:tcBorders>
            <w:shd w:val="clear" w:color="auto" w:fill="auto"/>
            <w:vAlign w:val="bottom"/>
          </w:tcPr>
          <w:p w14:paraId="7458E92A"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ALL</w:t>
            </w:r>
          </w:p>
        </w:tc>
        <w:tc>
          <w:tcPr>
            <w:tcW w:w="1294" w:type="dxa"/>
            <w:tcBorders>
              <w:top w:val="dashSmallGap" w:sz="4" w:space="0" w:color="auto"/>
              <w:bottom w:val="dashSmallGap" w:sz="4" w:space="0" w:color="auto"/>
            </w:tcBorders>
            <w:shd w:val="clear" w:color="auto" w:fill="auto"/>
            <w:vAlign w:val="bottom"/>
          </w:tcPr>
          <w:p w14:paraId="11F5E6CC"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249,323.51</w:t>
            </w:r>
          </w:p>
        </w:tc>
      </w:tr>
      <w:tr w:rsidR="009C0440" w14:paraId="7C94AE50" w14:textId="77777777" w:rsidTr="000F30C4">
        <w:tc>
          <w:tcPr>
            <w:tcW w:w="891" w:type="dxa"/>
            <w:vMerge/>
          </w:tcPr>
          <w:p w14:paraId="2709DB5F" w14:textId="77777777" w:rsidR="009C0440" w:rsidRDefault="009C0440" w:rsidP="007A318E"/>
        </w:tc>
        <w:tc>
          <w:tcPr>
            <w:tcW w:w="923" w:type="dxa"/>
            <w:tcBorders>
              <w:top w:val="dashSmallGap" w:sz="4" w:space="0" w:color="auto"/>
              <w:bottom w:val="dashSmallGap" w:sz="4" w:space="0" w:color="auto"/>
            </w:tcBorders>
            <w:shd w:val="clear" w:color="auto" w:fill="auto"/>
            <w:vAlign w:val="bottom"/>
          </w:tcPr>
          <w:p w14:paraId="40318788" w14:textId="77777777" w:rsidR="009C0440" w:rsidRPr="005F41AB" w:rsidRDefault="009C0440" w:rsidP="007A318E">
            <w:pPr>
              <w:jc w:val="center"/>
              <w:rPr>
                <w:rFonts w:ascii="Calibri" w:eastAsia="Times New Roman" w:hAnsi="Calibri" w:cs="Calibri"/>
                <w:color w:val="000000"/>
              </w:rPr>
            </w:pPr>
            <w:r w:rsidRPr="005F41AB">
              <w:rPr>
                <w:rFonts w:ascii="Calibri" w:eastAsia="Times New Roman" w:hAnsi="Calibri" w:cs="Calibri"/>
                <w:color w:val="000000"/>
              </w:rPr>
              <w:t>61663</w:t>
            </w:r>
          </w:p>
        </w:tc>
        <w:tc>
          <w:tcPr>
            <w:tcW w:w="2341" w:type="dxa"/>
            <w:tcBorders>
              <w:top w:val="dashSmallGap" w:sz="4" w:space="0" w:color="auto"/>
              <w:bottom w:val="dashSmallGap" w:sz="4" w:space="0" w:color="auto"/>
            </w:tcBorders>
            <w:shd w:val="clear" w:color="auto" w:fill="auto"/>
            <w:vAlign w:val="bottom"/>
          </w:tcPr>
          <w:p w14:paraId="472932D7" w14:textId="77777777" w:rsidR="009C0440" w:rsidRPr="005F41AB" w:rsidRDefault="009C0440" w:rsidP="007A318E">
            <w:pPr>
              <w:pStyle w:val="ListParagraph"/>
              <w:numPr>
                <w:ilvl w:val="0"/>
                <w:numId w:val="25"/>
              </w:numPr>
              <w:ind w:left="331" w:hanging="331"/>
              <w:rPr>
                <w:rFonts w:ascii="Calibri" w:eastAsia="Times New Roman" w:hAnsi="Calibri" w:cs="Calibri"/>
                <w:color w:val="000000"/>
                <w:sz w:val="20"/>
                <w:szCs w:val="20"/>
              </w:rPr>
            </w:pPr>
            <w:r w:rsidRPr="005F41AB">
              <w:rPr>
                <w:rFonts w:ascii="Calibri" w:eastAsia="Times New Roman" w:hAnsi="Calibri" w:cs="Calibri"/>
                <w:color w:val="000000"/>
                <w:sz w:val="20"/>
                <w:szCs w:val="20"/>
              </w:rPr>
              <w:t>DR JOSE CELSO BARBOSA</w:t>
            </w:r>
          </w:p>
        </w:tc>
        <w:tc>
          <w:tcPr>
            <w:tcW w:w="2286" w:type="dxa"/>
            <w:tcBorders>
              <w:top w:val="dashSmallGap" w:sz="4" w:space="0" w:color="auto"/>
              <w:bottom w:val="dashSmallGap" w:sz="4" w:space="0" w:color="auto"/>
            </w:tcBorders>
            <w:shd w:val="clear" w:color="auto" w:fill="auto"/>
            <w:vAlign w:val="bottom"/>
          </w:tcPr>
          <w:p w14:paraId="1290320F" w14:textId="544AE13E" w:rsidR="009C0440" w:rsidRPr="005F41AB" w:rsidRDefault="000F30C4" w:rsidP="007A318E">
            <w:pPr>
              <w:jc w:val="center"/>
              <w:rPr>
                <w:rFonts w:ascii="Calibri" w:eastAsia="Times New Roman" w:hAnsi="Calibri" w:cs="Calibri"/>
                <w:color w:val="000000"/>
                <w:sz w:val="20"/>
                <w:szCs w:val="20"/>
              </w:rPr>
            </w:pPr>
            <w:r w:rsidRPr="00C80DBF">
              <w:rPr>
                <w:rFonts w:ascii="Calibri" w:eastAsia="Times New Roman" w:hAnsi="Calibri" w:cs="Calibri"/>
                <w:color w:val="000000"/>
                <w:sz w:val="20"/>
                <w:szCs w:val="20"/>
              </w:rPr>
              <w:t>SECONDARY</w:t>
            </w:r>
          </w:p>
        </w:tc>
        <w:tc>
          <w:tcPr>
            <w:tcW w:w="1294" w:type="dxa"/>
            <w:tcBorders>
              <w:top w:val="dashSmallGap" w:sz="4" w:space="0" w:color="auto"/>
              <w:bottom w:val="dashSmallGap" w:sz="4" w:space="0" w:color="auto"/>
            </w:tcBorders>
            <w:shd w:val="clear" w:color="auto" w:fill="auto"/>
            <w:vAlign w:val="bottom"/>
          </w:tcPr>
          <w:p w14:paraId="40DD15A8"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233,186.14</w:t>
            </w:r>
          </w:p>
        </w:tc>
      </w:tr>
      <w:tr w:rsidR="009C0440" w14:paraId="65DC7A82" w14:textId="77777777" w:rsidTr="000F30C4">
        <w:tc>
          <w:tcPr>
            <w:tcW w:w="891" w:type="dxa"/>
            <w:vMerge/>
          </w:tcPr>
          <w:p w14:paraId="6EF01C8F" w14:textId="77777777" w:rsidR="009C0440" w:rsidRDefault="009C0440" w:rsidP="007A318E"/>
        </w:tc>
        <w:tc>
          <w:tcPr>
            <w:tcW w:w="923" w:type="dxa"/>
            <w:tcBorders>
              <w:top w:val="dashSmallGap" w:sz="4" w:space="0" w:color="auto"/>
              <w:bottom w:val="dashSmallGap" w:sz="4" w:space="0" w:color="auto"/>
            </w:tcBorders>
            <w:shd w:val="clear" w:color="auto" w:fill="auto"/>
            <w:vAlign w:val="bottom"/>
          </w:tcPr>
          <w:p w14:paraId="0C849090" w14:textId="77777777" w:rsidR="009C0440" w:rsidRPr="005F41AB" w:rsidRDefault="009C0440" w:rsidP="007A318E">
            <w:pPr>
              <w:jc w:val="center"/>
              <w:rPr>
                <w:rFonts w:ascii="Calibri" w:hAnsi="Calibri" w:cs="Calibri"/>
                <w:color w:val="000000"/>
              </w:rPr>
            </w:pPr>
            <w:r w:rsidRPr="005F41AB">
              <w:rPr>
                <w:rFonts w:ascii="Calibri" w:hAnsi="Calibri" w:cs="Calibri"/>
                <w:color w:val="000000"/>
              </w:rPr>
              <w:t>54288</w:t>
            </w:r>
          </w:p>
        </w:tc>
        <w:tc>
          <w:tcPr>
            <w:tcW w:w="2341" w:type="dxa"/>
            <w:tcBorders>
              <w:top w:val="dashSmallGap" w:sz="4" w:space="0" w:color="auto"/>
              <w:bottom w:val="dashSmallGap" w:sz="4" w:space="0" w:color="auto"/>
            </w:tcBorders>
            <w:shd w:val="clear" w:color="auto" w:fill="auto"/>
            <w:vAlign w:val="bottom"/>
          </w:tcPr>
          <w:p w14:paraId="54AAAC78" w14:textId="77777777" w:rsidR="009C0440" w:rsidRPr="005F41AB" w:rsidRDefault="009C0440" w:rsidP="007A318E">
            <w:pPr>
              <w:pStyle w:val="ListParagraph"/>
              <w:numPr>
                <w:ilvl w:val="0"/>
                <w:numId w:val="25"/>
              </w:numPr>
              <w:ind w:left="331" w:hanging="331"/>
              <w:rPr>
                <w:rFonts w:ascii="Calibri" w:eastAsia="Times New Roman" w:hAnsi="Calibri" w:cs="Calibri"/>
                <w:color w:val="000000"/>
                <w:sz w:val="20"/>
                <w:szCs w:val="20"/>
              </w:rPr>
            </w:pPr>
            <w:r w:rsidRPr="005F41AB">
              <w:rPr>
                <w:rFonts w:ascii="Calibri" w:eastAsia="Times New Roman" w:hAnsi="Calibri" w:cs="Calibri"/>
                <w:color w:val="000000"/>
                <w:sz w:val="20"/>
                <w:szCs w:val="20"/>
              </w:rPr>
              <w:t>SANTA ROSA II</w:t>
            </w:r>
          </w:p>
        </w:tc>
        <w:tc>
          <w:tcPr>
            <w:tcW w:w="2286" w:type="dxa"/>
            <w:tcBorders>
              <w:top w:val="dashSmallGap" w:sz="4" w:space="0" w:color="auto"/>
              <w:bottom w:val="dashSmallGap" w:sz="4" w:space="0" w:color="auto"/>
            </w:tcBorders>
            <w:shd w:val="clear" w:color="auto" w:fill="auto"/>
            <w:vAlign w:val="bottom"/>
          </w:tcPr>
          <w:p w14:paraId="32A74E5D"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ALL</w:t>
            </w:r>
          </w:p>
        </w:tc>
        <w:tc>
          <w:tcPr>
            <w:tcW w:w="1294" w:type="dxa"/>
            <w:tcBorders>
              <w:top w:val="dashSmallGap" w:sz="4" w:space="0" w:color="auto"/>
              <w:bottom w:val="dashSmallGap" w:sz="4" w:space="0" w:color="auto"/>
            </w:tcBorders>
            <w:shd w:val="clear" w:color="auto" w:fill="auto"/>
            <w:vAlign w:val="bottom"/>
          </w:tcPr>
          <w:p w14:paraId="5776064C" w14:textId="77777777" w:rsidR="009C0440" w:rsidRPr="005F41AB" w:rsidRDefault="009C0440" w:rsidP="007A318E">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115,947.57</w:t>
            </w:r>
          </w:p>
        </w:tc>
      </w:tr>
      <w:tr w:rsidR="009C0440" w14:paraId="4FB0D585" w14:textId="77777777" w:rsidTr="000F30C4">
        <w:trPr>
          <w:trHeight w:val="50"/>
        </w:trPr>
        <w:tc>
          <w:tcPr>
            <w:tcW w:w="891" w:type="dxa"/>
            <w:vMerge/>
          </w:tcPr>
          <w:p w14:paraId="5654B274" w14:textId="77777777" w:rsidR="009C0440" w:rsidRDefault="009C0440" w:rsidP="007A318E"/>
        </w:tc>
        <w:tc>
          <w:tcPr>
            <w:tcW w:w="923" w:type="dxa"/>
            <w:tcBorders>
              <w:top w:val="dashSmallGap" w:sz="4" w:space="0" w:color="auto"/>
            </w:tcBorders>
            <w:shd w:val="clear" w:color="auto" w:fill="auto"/>
            <w:vAlign w:val="bottom"/>
          </w:tcPr>
          <w:p w14:paraId="0A4EF532" w14:textId="77777777" w:rsidR="009C0440" w:rsidRPr="005F41AB" w:rsidRDefault="009C0440" w:rsidP="007A318E">
            <w:pPr>
              <w:jc w:val="center"/>
              <w:rPr>
                <w:rFonts w:ascii="Calibri" w:hAnsi="Calibri" w:cs="Calibri"/>
                <w:color w:val="000000"/>
              </w:rPr>
            </w:pPr>
            <w:r w:rsidRPr="005F41AB">
              <w:rPr>
                <w:rFonts w:ascii="Calibri" w:hAnsi="Calibri" w:cs="Calibri"/>
                <w:color w:val="000000"/>
              </w:rPr>
              <w:t>64527</w:t>
            </w:r>
          </w:p>
        </w:tc>
        <w:tc>
          <w:tcPr>
            <w:tcW w:w="2341" w:type="dxa"/>
            <w:tcBorders>
              <w:top w:val="dashSmallGap" w:sz="4" w:space="0" w:color="auto"/>
            </w:tcBorders>
            <w:shd w:val="clear" w:color="auto" w:fill="auto"/>
            <w:vAlign w:val="bottom"/>
          </w:tcPr>
          <w:p w14:paraId="1221259B" w14:textId="77777777" w:rsidR="009C0440" w:rsidRPr="005F41AB" w:rsidRDefault="009C0440" w:rsidP="007A318E">
            <w:pPr>
              <w:pStyle w:val="ListParagraph"/>
              <w:numPr>
                <w:ilvl w:val="0"/>
                <w:numId w:val="25"/>
              </w:numPr>
              <w:ind w:left="331" w:hanging="331"/>
              <w:rPr>
                <w:rFonts w:ascii="Calibri" w:hAnsi="Calibri" w:cs="Calibri"/>
                <w:color w:val="000000"/>
                <w:sz w:val="20"/>
                <w:szCs w:val="20"/>
              </w:rPr>
            </w:pPr>
            <w:r w:rsidRPr="005F41AB">
              <w:rPr>
                <w:rFonts w:ascii="Calibri" w:hAnsi="Calibri" w:cs="Calibri"/>
                <w:color w:val="000000"/>
                <w:sz w:val="20"/>
                <w:szCs w:val="20"/>
              </w:rPr>
              <w:t>GUSTAVO A BECQUER</w:t>
            </w:r>
          </w:p>
        </w:tc>
        <w:tc>
          <w:tcPr>
            <w:tcW w:w="2286" w:type="dxa"/>
            <w:tcBorders>
              <w:top w:val="dashSmallGap" w:sz="4" w:space="0" w:color="auto"/>
            </w:tcBorders>
            <w:shd w:val="clear" w:color="auto" w:fill="auto"/>
            <w:vAlign w:val="bottom"/>
          </w:tcPr>
          <w:p w14:paraId="1CAC65C1"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PRIMARY</w:t>
            </w:r>
          </w:p>
        </w:tc>
        <w:tc>
          <w:tcPr>
            <w:tcW w:w="1294" w:type="dxa"/>
            <w:tcBorders>
              <w:top w:val="dashSmallGap" w:sz="4" w:space="0" w:color="auto"/>
            </w:tcBorders>
            <w:shd w:val="clear" w:color="auto" w:fill="auto"/>
            <w:vAlign w:val="bottom"/>
          </w:tcPr>
          <w:p w14:paraId="1CC86AAB" w14:textId="77777777" w:rsidR="009C0440" w:rsidRPr="005F41AB" w:rsidRDefault="009C0440" w:rsidP="007A318E">
            <w:pPr>
              <w:jc w:val="center"/>
              <w:rPr>
                <w:rFonts w:ascii="Calibri" w:eastAsia="Times New Roman" w:hAnsi="Calibri" w:cs="Calibri"/>
                <w:color w:val="000000"/>
                <w:sz w:val="20"/>
                <w:szCs w:val="20"/>
              </w:rPr>
            </w:pPr>
            <w:r w:rsidRPr="005F41AB">
              <w:rPr>
                <w:rFonts w:ascii="Calibri" w:eastAsia="Times New Roman" w:hAnsi="Calibri" w:cs="Calibri"/>
                <w:color w:val="000000"/>
                <w:sz w:val="20"/>
                <w:szCs w:val="20"/>
              </w:rPr>
              <w:t>93,543,14</w:t>
            </w:r>
          </w:p>
        </w:tc>
      </w:tr>
    </w:tbl>
    <w:p w14:paraId="613ECD1C" w14:textId="77777777" w:rsidR="002C0E6B" w:rsidRPr="00754C50" w:rsidRDefault="002C0E6B" w:rsidP="002C0E6B">
      <w:pPr>
        <w:pStyle w:val="Default"/>
        <w:ind w:left="1440"/>
        <w:jc w:val="both"/>
        <w:rPr>
          <w:rFonts w:asciiTheme="majorHAnsi" w:hAnsiTheme="majorHAnsi" w:cstheme="majorHAnsi"/>
          <w:color w:val="000000" w:themeColor="text1"/>
        </w:rPr>
      </w:pPr>
    </w:p>
    <w:p w14:paraId="414F9F63" w14:textId="556BA603" w:rsidR="002C0E6B" w:rsidRDefault="002C0E6B" w:rsidP="00342E9E">
      <w:pPr>
        <w:pStyle w:val="Default"/>
        <w:numPr>
          <w:ilvl w:val="0"/>
          <w:numId w:val="1"/>
        </w:numPr>
        <w:spacing w:after="9"/>
        <w:ind w:left="360"/>
        <w:jc w:val="both"/>
        <w:rPr>
          <w:rFonts w:asciiTheme="majorHAnsi" w:hAnsiTheme="majorHAnsi" w:cstheme="majorBidi"/>
          <w:color w:val="000000" w:themeColor="text1"/>
        </w:rPr>
      </w:pPr>
      <w:r w:rsidRPr="00754C50">
        <w:rPr>
          <w:rFonts w:asciiTheme="majorHAnsi" w:hAnsiTheme="majorHAnsi" w:cstheme="majorBidi"/>
          <w:color w:val="000000" w:themeColor="text1"/>
        </w:rPr>
        <w:t xml:space="preserve">The risk assessment process will also be undertaken </w:t>
      </w:r>
      <w:r w:rsidR="007242F9">
        <w:rPr>
          <w:rFonts w:asciiTheme="majorHAnsi" w:hAnsiTheme="majorHAnsi" w:cstheme="majorBidi"/>
          <w:color w:val="000000" w:themeColor="text1"/>
        </w:rPr>
        <w:t xml:space="preserve">including a sample of the schools at the </w:t>
      </w:r>
      <w:r w:rsidRPr="00754C50">
        <w:rPr>
          <w:rFonts w:asciiTheme="majorHAnsi" w:hAnsiTheme="majorHAnsi" w:cstheme="majorBidi"/>
          <w:color w:val="000000" w:themeColor="text1"/>
        </w:rPr>
        <w:t>Region</w:t>
      </w:r>
      <w:r w:rsidR="007242F9">
        <w:rPr>
          <w:rFonts w:asciiTheme="majorHAnsi" w:hAnsiTheme="majorHAnsi" w:cstheme="majorBidi"/>
          <w:color w:val="000000" w:themeColor="text1"/>
        </w:rPr>
        <w:t>s</w:t>
      </w:r>
      <w:r w:rsidRPr="00754C50">
        <w:rPr>
          <w:rFonts w:asciiTheme="majorHAnsi" w:hAnsiTheme="majorHAnsi" w:cstheme="majorBidi"/>
          <w:color w:val="000000" w:themeColor="text1"/>
        </w:rPr>
        <w:t xml:space="preserve"> to ensure a representative sample of schools from each will be monitored.</w:t>
      </w:r>
    </w:p>
    <w:p w14:paraId="3F4788D5" w14:textId="77777777" w:rsidR="009F698D" w:rsidRDefault="009F698D" w:rsidP="009F698D">
      <w:pPr>
        <w:pStyle w:val="Default"/>
        <w:spacing w:after="9"/>
        <w:ind w:left="360"/>
        <w:jc w:val="both"/>
        <w:rPr>
          <w:rFonts w:asciiTheme="majorHAnsi" w:hAnsiTheme="majorHAnsi" w:cstheme="majorBidi"/>
          <w:color w:val="000000" w:themeColor="text1"/>
        </w:rPr>
      </w:pPr>
    </w:p>
    <w:p w14:paraId="55AC8605" w14:textId="22A54C7E" w:rsidR="00792989" w:rsidRDefault="00792989" w:rsidP="00342E9E">
      <w:pPr>
        <w:pStyle w:val="Default"/>
        <w:numPr>
          <w:ilvl w:val="0"/>
          <w:numId w:val="1"/>
        </w:numPr>
        <w:spacing w:after="9"/>
        <w:ind w:left="360"/>
        <w:jc w:val="both"/>
        <w:rPr>
          <w:rFonts w:asciiTheme="majorHAnsi" w:hAnsiTheme="majorHAnsi" w:cstheme="majorBidi"/>
          <w:color w:val="000000" w:themeColor="text1"/>
        </w:rPr>
      </w:pPr>
      <w:r>
        <w:rPr>
          <w:rFonts w:asciiTheme="majorHAnsi" w:hAnsiTheme="majorHAnsi" w:cstheme="majorBidi"/>
          <w:color w:val="000000" w:themeColor="text1"/>
        </w:rPr>
        <w:t xml:space="preserve">Non-public schools: </w:t>
      </w:r>
    </w:p>
    <w:p w14:paraId="588130C2" w14:textId="77777777" w:rsidR="007C331C" w:rsidRDefault="007C331C" w:rsidP="00792989">
      <w:pPr>
        <w:pStyle w:val="Default"/>
        <w:spacing w:after="9" w:line="259" w:lineRule="auto"/>
        <w:jc w:val="both"/>
        <w:rPr>
          <w:rFonts w:asciiTheme="majorHAnsi" w:hAnsiTheme="majorHAnsi" w:cstheme="majorBidi"/>
          <w:color w:val="000000" w:themeColor="text1"/>
        </w:rPr>
      </w:pPr>
    </w:p>
    <w:p w14:paraId="3CA51B50" w14:textId="32D9FB89" w:rsidR="00646288" w:rsidRDefault="00BC5F93" w:rsidP="00743A0F">
      <w:pPr>
        <w:pStyle w:val="Default"/>
        <w:spacing w:after="9" w:line="259" w:lineRule="auto"/>
        <w:ind w:left="360"/>
        <w:jc w:val="both"/>
        <w:rPr>
          <w:rFonts w:asciiTheme="majorHAnsi" w:hAnsiTheme="majorHAnsi" w:cstheme="majorHAnsi"/>
          <w:color w:val="000000" w:themeColor="text1"/>
        </w:rPr>
      </w:pPr>
      <w:r w:rsidRPr="00AE1922">
        <w:rPr>
          <w:rFonts w:asciiTheme="majorHAnsi" w:hAnsiTheme="majorHAnsi" w:cstheme="majorBidi"/>
          <w:color w:val="000000" w:themeColor="text1"/>
        </w:rPr>
        <w:t>F</w:t>
      </w:r>
      <w:r w:rsidR="002C0E6B" w:rsidRPr="00792989">
        <w:rPr>
          <w:rFonts w:asciiTheme="majorHAnsi" w:hAnsiTheme="majorHAnsi" w:cstheme="majorBidi"/>
          <w:color w:val="000000" w:themeColor="text1"/>
        </w:rPr>
        <w:t>or the non-public schools, the E</w:t>
      </w:r>
      <w:r w:rsidRPr="00AE1922">
        <w:rPr>
          <w:rFonts w:asciiTheme="majorHAnsi" w:hAnsiTheme="majorHAnsi" w:cstheme="majorBidi"/>
          <w:color w:val="000000" w:themeColor="text1"/>
        </w:rPr>
        <w:t xml:space="preserve">quitable </w:t>
      </w:r>
      <w:r w:rsidR="002C0E6B" w:rsidRPr="00792989">
        <w:rPr>
          <w:rFonts w:asciiTheme="majorHAnsi" w:hAnsiTheme="majorHAnsi" w:cstheme="majorBidi"/>
          <w:color w:val="000000" w:themeColor="text1"/>
        </w:rPr>
        <w:t>S</w:t>
      </w:r>
      <w:r w:rsidRPr="00AE1922">
        <w:rPr>
          <w:rFonts w:asciiTheme="majorHAnsi" w:hAnsiTheme="majorHAnsi" w:cstheme="majorBidi"/>
          <w:color w:val="000000" w:themeColor="text1"/>
        </w:rPr>
        <w:t xml:space="preserve">ervices </w:t>
      </w:r>
      <w:r w:rsidR="002C0E6B" w:rsidRPr="00792989">
        <w:rPr>
          <w:rFonts w:asciiTheme="majorHAnsi" w:hAnsiTheme="majorHAnsi" w:cstheme="majorBidi"/>
          <w:color w:val="000000" w:themeColor="text1"/>
        </w:rPr>
        <w:t>D</w:t>
      </w:r>
      <w:r w:rsidRPr="00AE1922">
        <w:rPr>
          <w:rFonts w:asciiTheme="majorHAnsi" w:hAnsiTheme="majorHAnsi" w:cstheme="majorBidi"/>
          <w:color w:val="000000" w:themeColor="text1"/>
        </w:rPr>
        <w:t xml:space="preserve">ivision (ESD) in collaboration with the Restart Program performed a Risk Assessment after the </w:t>
      </w:r>
      <w:r w:rsidR="00217687" w:rsidRPr="00AE1922">
        <w:rPr>
          <w:rFonts w:asciiTheme="majorHAnsi" w:hAnsiTheme="majorHAnsi" w:cstheme="majorBidi"/>
          <w:color w:val="000000" w:themeColor="text1"/>
        </w:rPr>
        <w:t xml:space="preserve">virtual </w:t>
      </w:r>
      <w:r w:rsidRPr="00AE1922">
        <w:rPr>
          <w:rFonts w:asciiTheme="majorHAnsi" w:hAnsiTheme="majorHAnsi" w:cstheme="majorBidi"/>
          <w:color w:val="000000" w:themeColor="text1"/>
        </w:rPr>
        <w:t xml:space="preserve">federal monitoring </w:t>
      </w:r>
      <w:r w:rsidR="00217687" w:rsidRPr="00AE1922">
        <w:rPr>
          <w:rFonts w:asciiTheme="majorHAnsi" w:hAnsiTheme="majorHAnsi" w:cstheme="majorBidi"/>
          <w:color w:val="000000" w:themeColor="text1"/>
        </w:rPr>
        <w:t xml:space="preserve">process </w:t>
      </w:r>
      <w:r w:rsidRPr="00AE1922">
        <w:rPr>
          <w:rFonts w:asciiTheme="majorHAnsi" w:hAnsiTheme="majorHAnsi" w:cstheme="majorBidi"/>
          <w:color w:val="000000" w:themeColor="text1"/>
        </w:rPr>
        <w:t xml:space="preserve">took place. </w:t>
      </w:r>
      <w:r w:rsidR="002C0E6B" w:rsidRPr="00792989">
        <w:rPr>
          <w:rFonts w:asciiTheme="majorHAnsi" w:hAnsiTheme="majorHAnsi" w:cstheme="majorBidi"/>
          <w:color w:val="000000" w:themeColor="text1"/>
        </w:rPr>
        <w:t xml:space="preserve"> </w:t>
      </w:r>
      <w:r w:rsidR="00217687" w:rsidRPr="00AE1922">
        <w:rPr>
          <w:rFonts w:asciiTheme="majorHAnsi" w:hAnsiTheme="majorHAnsi" w:cstheme="majorHAnsi"/>
          <w:color w:val="000000" w:themeColor="text1"/>
        </w:rPr>
        <w:t xml:space="preserve">PRDE has selected </w:t>
      </w:r>
      <w:r w:rsidR="00792989" w:rsidRPr="00792989">
        <w:rPr>
          <w:rFonts w:asciiTheme="majorHAnsi" w:hAnsiTheme="majorHAnsi" w:cstheme="majorHAnsi"/>
          <w:color w:val="000000" w:themeColor="text1"/>
        </w:rPr>
        <w:t xml:space="preserve">a group </w:t>
      </w:r>
      <w:r w:rsidR="00217687" w:rsidRPr="00AE1922">
        <w:rPr>
          <w:rFonts w:asciiTheme="majorHAnsi" w:hAnsiTheme="majorHAnsi" w:cstheme="majorHAnsi"/>
          <w:color w:val="000000" w:themeColor="text1"/>
        </w:rPr>
        <w:t>of schools that will be monitored emphasizing on the top quarter of the schools with the highest budget as of September 2020, along with those with the greatest diversity of approved spending objects (</w:t>
      </w:r>
      <w:r w:rsidR="00743A0F">
        <w:rPr>
          <w:rFonts w:asciiTheme="majorHAnsi" w:hAnsiTheme="majorHAnsi" w:cstheme="majorHAnsi"/>
          <w:color w:val="000000" w:themeColor="text1"/>
        </w:rPr>
        <w:t>2-6</w:t>
      </w:r>
      <w:r w:rsidR="00217687" w:rsidRPr="00AE1922">
        <w:rPr>
          <w:rFonts w:asciiTheme="majorHAnsi" w:hAnsiTheme="majorHAnsi" w:cstheme="majorHAnsi"/>
          <w:color w:val="000000" w:themeColor="text1"/>
        </w:rPr>
        <w:t xml:space="preserve"> objects)</w:t>
      </w:r>
      <w:r w:rsidR="00792989" w:rsidRPr="00792989">
        <w:rPr>
          <w:rFonts w:asciiTheme="majorHAnsi" w:hAnsiTheme="majorHAnsi" w:cstheme="majorHAnsi"/>
          <w:color w:val="000000" w:themeColor="text1"/>
        </w:rPr>
        <w:t>,</w:t>
      </w:r>
      <w:r w:rsidR="00217687" w:rsidRPr="00AE1922">
        <w:rPr>
          <w:rFonts w:asciiTheme="majorHAnsi" w:hAnsiTheme="majorHAnsi" w:cstheme="majorHAnsi"/>
          <w:color w:val="000000" w:themeColor="text1"/>
        </w:rPr>
        <w:t xml:space="preserve"> plus those that were “supported” by a firm of attorneys and submitted the </w:t>
      </w:r>
      <w:r w:rsidR="00792989" w:rsidRPr="00792989">
        <w:rPr>
          <w:rFonts w:asciiTheme="majorHAnsi" w:hAnsiTheme="majorHAnsi" w:cstheme="majorHAnsi"/>
          <w:color w:val="000000" w:themeColor="text1"/>
        </w:rPr>
        <w:t xml:space="preserve">exact </w:t>
      </w:r>
      <w:r w:rsidR="00217687" w:rsidRPr="00AE1922">
        <w:rPr>
          <w:rFonts w:asciiTheme="majorHAnsi" w:hAnsiTheme="majorHAnsi" w:cstheme="majorHAnsi"/>
          <w:color w:val="000000" w:themeColor="text1"/>
        </w:rPr>
        <w:t>same applications originally. Th</w:t>
      </w:r>
      <w:r w:rsidR="00792989" w:rsidRPr="00792989">
        <w:rPr>
          <w:rFonts w:asciiTheme="majorHAnsi" w:hAnsiTheme="majorHAnsi" w:cstheme="majorHAnsi"/>
          <w:color w:val="000000" w:themeColor="text1"/>
        </w:rPr>
        <w:t xml:space="preserve">e sample </w:t>
      </w:r>
      <w:r w:rsidR="00217687" w:rsidRPr="00AE1922">
        <w:rPr>
          <w:rFonts w:asciiTheme="majorHAnsi" w:hAnsiTheme="majorHAnsi" w:cstheme="majorHAnsi"/>
          <w:color w:val="000000" w:themeColor="text1"/>
        </w:rPr>
        <w:t>also includes a random selection of schools that presented complaints related to the Restart Program to the PRDE Ombudsman. This sample comprehend 27 schools</w:t>
      </w:r>
      <w:r w:rsidR="00743A0F">
        <w:rPr>
          <w:rFonts w:asciiTheme="majorHAnsi" w:hAnsiTheme="majorHAnsi" w:cstheme="majorHAnsi"/>
          <w:color w:val="000000" w:themeColor="text1"/>
        </w:rPr>
        <w:t xml:space="preserve">. </w:t>
      </w:r>
      <w:r w:rsidR="00792989" w:rsidRPr="00792989">
        <w:rPr>
          <w:rFonts w:asciiTheme="majorHAnsi" w:hAnsiTheme="majorHAnsi" w:cstheme="majorHAnsi"/>
          <w:color w:val="000000" w:themeColor="text1"/>
        </w:rPr>
        <w:t xml:space="preserve">(attached please find the list of schools and </w:t>
      </w:r>
      <w:r w:rsidR="00067813">
        <w:rPr>
          <w:rFonts w:asciiTheme="majorHAnsi" w:hAnsiTheme="majorHAnsi" w:cstheme="majorHAnsi"/>
          <w:color w:val="000000" w:themeColor="text1"/>
        </w:rPr>
        <w:t>factors</w:t>
      </w:r>
      <w:r w:rsidR="00067813" w:rsidRPr="00792989">
        <w:rPr>
          <w:rFonts w:asciiTheme="majorHAnsi" w:hAnsiTheme="majorHAnsi" w:cstheme="majorHAnsi"/>
          <w:color w:val="000000" w:themeColor="text1"/>
        </w:rPr>
        <w:t xml:space="preserve"> </w:t>
      </w:r>
      <w:r w:rsidR="00792989" w:rsidRPr="00792989">
        <w:rPr>
          <w:rFonts w:asciiTheme="majorHAnsi" w:hAnsiTheme="majorHAnsi" w:cstheme="majorHAnsi"/>
          <w:color w:val="000000" w:themeColor="text1"/>
        </w:rPr>
        <w:t>taken into consideration for the risk assessment performed</w:t>
      </w:r>
      <w:r w:rsidR="00067813">
        <w:rPr>
          <w:rFonts w:asciiTheme="majorHAnsi" w:hAnsiTheme="majorHAnsi" w:cstheme="majorHAnsi"/>
          <w:color w:val="000000" w:themeColor="text1"/>
        </w:rPr>
        <w:t xml:space="preserve">, with a </w:t>
      </w:r>
      <w:proofErr w:type="gramStart"/>
      <w:r w:rsidR="00067813">
        <w:rPr>
          <w:rFonts w:asciiTheme="majorHAnsi" w:hAnsiTheme="majorHAnsi" w:cstheme="majorHAnsi"/>
          <w:color w:val="000000" w:themeColor="text1"/>
        </w:rPr>
        <w:t>step by step</w:t>
      </w:r>
      <w:proofErr w:type="gramEnd"/>
      <w:r w:rsidR="00067813">
        <w:rPr>
          <w:rFonts w:asciiTheme="majorHAnsi" w:hAnsiTheme="majorHAnsi" w:cstheme="majorHAnsi"/>
          <w:color w:val="000000" w:themeColor="text1"/>
        </w:rPr>
        <w:t xml:space="preserve"> process)</w:t>
      </w:r>
      <w:r w:rsidR="00217687" w:rsidRPr="00AE1922">
        <w:rPr>
          <w:rFonts w:asciiTheme="majorHAnsi" w:hAnsiTheme="majorHAnsi" w:cstheme="majorHAnsi"/>
          <w:color w:val="000000" w:themeColor="text1"/>
        </w:rPr>
        <w:t xml:space="preserve">. </w:t>
      </w:r>
    </w:p>
    <w:p w14:paraId="4E1B08BD" w14:textId="77777777" w:rsidR="00646288" w:rsidRDefault="00646288" w:rsidP="00792989">
      <w:pPr>
        <w:pStyle w:val="Default"/>
        <w:spacing w:after="9" w:line="259" w:lineRule="auto"/>
        <w:jc w:val="both"/>
        <w:rPr>
          <w:rFonts w:asciiTheme="majorHAnsi" w:hAnsiTheme="majorHAnsi" w:cstheme="majorHAnsi"/>
          <w:color w:val="000000" w:themeColor="text1"/>
        </w:rPr>
      </w:pPr>
    </w:p>
    <w:p w14:paraId="0068632E" w14:textId="41004298" w:rsidR="00217687" w:rsidRDefault="00792989" w:rsidP="007C331C">
      <w:pPr>
        <w:pStyle w:val="Default"/>
        <w:spacing w:after="9" w:line="259" w:lineRule="auto"/>
        <w:ind w:left="360"/>
        <w:jc w:val="both"/>
        <w:rPr>
          <w:rFonts w:asciiTheme="majorHAnsi" w:hAnsiTheme="majorHAnsi" w:cstheme="majorHAnsi"/>
          <w:color w:val="000000" w:themeColor="text1"/>
        </w:rPr>
      </w:pPr>
      <w:r w:rsidRPr="00792989">
        <w:rPr>
          <w:rFonts w:asciiTheme="majorHAnsi" w:hAnsiTheme="majorHAnsi" w:cstheme="majorHAnsi"/>
          <w:color w:val="000000" w:themeColor="text1"/>
        </w:rPr>
        <w:t xml:space="preserve">The list of selected schools was provided to the external vendor and due to COVID19 social distancing and other health measures, PRDE and the monitoring firm agreed on </w:t>
      </w:r>
      <w:r w:rsidR="00217687" w:rsidRPr="00AE1922">
        <w:rPr>
          <w:rFonts w:asciiTheme="majorHAnsi" w:hAnsiTheme="majorHAnsi" w:cstheme="majorHAnsi"/>
          <w:color w:val="000000" w:themeColor="text1"/>
        </w:rPr>
        <w:t>desk monitoring</w:t>
      </w:r>
      <w:r w:rsidRPr="00792989">
        <w:rPr>
          <w:rFonts w:asciiTheme="majorHAnsi" w:hAnsiTheme="majorHAnsi" w:cstheme="majorHAnsi"/>
          <w:color w:val="000000" w:themeColor="text1"/>
        </w:rPr>
        <w:t xml:space="preserve"> the</w:t>
      </w:r>
      <w:r w:rsidR="00217687" w:rsidRPr="00AE1922">
        <w:rPr>
          <w:rFonts w:asciiTheme="majorHAnsi" w:hAnsiTheme="majorHAnsi" w:cstheme="majorHAnsi"/>
          <w:color w:val="000000" w:themeColor="text1"/>
        </w:rPr>
        <w:t xml:space="preserve"> 27 selected schools</w:t>
      </w:r>
      <w:r w:rsidRPr="00792989">
        <w:rPr>
          <w:rFonts w:asciiTheme="majorHAnsi" w:hAnsiTheme="majorHAnsi" w:cstheme="majorHAnsi"/>
          <w:color w:val="000000" w:themeColor="text1"/>
        </w:rPr>
        <w:t xml:space="preserve">. Desk monitoring was the best option to make sure that we continue with monitoring activities during the pandemic, </w:t>
      </w:r>
      <w:r w:rsidR="00217687" w:rsidRPr="00AE1922">
        <w:rPr>
          <w:rFonts w:asciiTheme="majorHAnsi" w:hAnsiTheme="majorHAnsi" w:cstheme="majorHAnsi"/>
          <w:color w:val="000000" w:themeColor="text1"/>
        </w:rPr>
        <w:t xml:space="preserve">since a lot of non-publics schools remain closed, partially closed or </w:t>
      </w:r>
      <w:r w:rsidRPr="00792989">
        <w:rPr>
          <w:rFonts w:asciiTheme="majorHAnsi" w:hAnsiTheme="majorHAnsi" w:cstheme="majorHAnsi"/>
          <w:color w:val="000000" w:themeColor="text1"/>
        </w:rPr>
        <w:t xml:space="preserve">providing </w:t>
      </w:r>
      <w:r w:rsidR="00217687" w:rsidRPr="00AE1922">
        <w:rPr>
          <w:rFonts w:asciiTheme="majorHAnsi" w:hAnsiTheme="majorHAnsi" w:cstheme="majorHAnsi"/>
          <w:color w:val="000000" w:themeColor="text1"/>
        </w:rPr>
        <w:t>distance education (with no in person visits from outsiders allowed</w:t>
      </w:r>
      <w:r w:rsidRPr="00792989">
        <w:rPr>
          <w:rFonts w:asciiTheme="majorHAnsi" w:hAnsiTheme="majorHAnsi" w:cstheme="majorHAnsi"/>
          <w:color w:val="000000" w:themeColor="text1"/>
        </w:rPr>
        <w:t xml:space="preserve"> as caution</w:t>
      </w:r>
      <w:r w:rsidR="00743A0F">
        <w:rPr>
          <w:rFonts w:asciiTheme="majorHAnsi" w:hAnsiTheme="majorHAnsi" w:cstheme="majorHAnsi"/>
          <w:color w:val="000000" w:themeColor="text1"/>
        </w:rPr>
        <w:t xml:space="preserve"> and </w:t>
      </w:r>
      <w:r w:rsidR="00067813">
        <w:rPr>
          <w:rFonts w:asciiTheme="majorHAnsi" w:hAnsiTheme="majorHAnsi" w:cstheme="majorHAnsi"/>
          <w:color w:val="000000" w:themeColor="text1"/>
        </w:rPr>
        <w:t xml:space="preserve">social </w:t>
      </w:r>
      <w:r w:rsidR="00743A0F">
        <w:rPr>
          <w:rFonts w:asciiTheme="majorHAnsi" w:hAnsiTheme="majorHAnsi" w:cstheme="majorHAnsi"/>
          <w:color w:val="000000" w:themeColor="text1"/>
        </w:rPr>
        <w:t>distance measures</w:t>
      </w:r>
      <w:r w:rsidR="00217687" w:rsidRPr="00AE1922">
        <w:rPr>
          <w:rFonts w:asciiTheme="majorHAnsi" w:hAnsiTheme="majorHAnsi" w:cstheme="majorHAnsi"/>
          <w:color w:val="000000" w:themeColor="text1"/>
        </w:rPr>
        <w:t xml:space="preserve">). </w:t>
      </w:r>
      <w:r w:rsidRPr="00792989">
        <w:rPr>
          <w:rFonts w:asciiTheme="majorHAnsi" w:hAnsiTheme="majorHAnsi" w:cstheme="majorHAnsi"/>
          <w:color w:val="000000" w:themeColor="text1"/>
        </w:rPr>
        <w:t>After the selection of the schools</w:t>
      </w:r>
      <w:r w:rsidR="00217687" w:rsidRPr="00AE1922">
        <w:rPr>
          <w:rFonts w:asciiTheme="majorHAnsi" w:hAnsiTheme="majorHAnsi" w:cstheme="majorHAnsi"/>
          <w:color w:val="000000" w:themeColor="text1"/>
        </w:rPr>
        <w:t xml:space="preserve">, the external vendor in charge of monitoring </w:t>
      </w:r>
      <w:r w:rsidRPr="00792989">
        <w:rPr>
          <w:rFonts w:asciiTheme="majorHAnsi" w:hAnsiTheme="majorHAnsi" w:cstheme="majorHAnsi"/>
          <w:color w:val="000000" w:themeColor="text1"/>
        </w:rPr>
        <w:t xml:space="preserve">met </w:t>
      </w:r>
      <w:r w:rsidR="00217687" w:rsidRPr="00AE1922">
        <w:rPr>
          <w:rFonts w:asciiTheme="majorHAnsi" w:hAnsiTheme="majorHAnsi" w:cstheme="majorHAnsi"/>
          <w:color w:val="000000" w:themeColor="text1"/>
        </w:rPr>
        <w:t xml:space="preserve">with the </w:t>
      </w:r>
      <w:r w:rsidRPr="00792989">
        <w:rPr>
          <w:rFonts w:asciiTheme="majorHAnsi" w:hAnsiTheme="majorHAnsi" w:cstheme="majorHAnsi"/>
          <w:color w:val="000000" w:themeColor="text1"/>
        </w:rPr>
        <w:t>ESD</w:t>
      </w:r>
      <w:r w:rsidR="00217687" w:rsidRPr="00AE1922">
        <w:rPr>
          <w:rFonts w:asciiTheme="majorHAnsi" w:hAnsiTheme="majorHAnsi" w:cstheme="majorHAnsi"/>
          <w:color w:val="000000" w:themeColor="text1"/>
        </w:rPr>
        <w:t xml:space="preserve"> to discuss the procedures carried out in the case of non-publics</w:t>
      </w:r>
      <w:r w:rsidRPr="00792989">
        <w:rPr>
          <w:rFonts w:asciiTheme="majorHAnsi" w:hAnsiTheme="majorHAnsi" w:cstheme="majorHAnsi"/>
          <w:color w:val="000000" w:themeColor="text1"/>
        </w:rPr>
        <w:t xml:space="preserve"> for the documentation and monitoring planning stage; and collected all information and documents needed. </w:t>
      </w:r>
      <w:r w:rsidR="00217687" w:rsidRPr="00AE1922">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PRDE has been scanning non-public schools’ files and providing them to the monitoring team for them to be able to keep monitoring works. </w:t>
      </w:r>
    </w:p>
    <w:p w14:paraId="6461F13F" w14:textId="1C70E105" w:rsidR="007C331C" w:rsidRDefault="007C331C" w:rsidP="007C331C">
      <w:pPr>
        <w:pStyle w:val="Default"/>
        <w:spacing w:after="9" w:line="259" w:lineRule="auto"/>
        <w:ind w:left="360"/>
        <w:jc w:val="both"/>
        <w:rPr>
          <w:rFonts w:asciiTheme="majorHAnsi" w:hAnsiTheme="majorHAnsi" w:cstheme="majorHAnsi"/>
          <w:color w:val="000000" w:themeColor="text1"/>
        </w:rPr>
      </w:pPr>
    </w:p>
    <w:p w14:paraId="31753C35" w14:textId="0E610D12" w:rsidR="007C331C" w:rsidRDefault="007C331C" w:rsidP="007C331C">
      <w:pPr>
        <w:pStyle w:val="Default"/>
        <w:spacing w:after="9" w:line="259" w:lineRule="auto"/>
        <w:ind w:left="360"/>
        <w:jc w:val="both"/>
        <w:rPr>
          <w:rFonts w:asciiTheme="majorHAnsi" w:hAnsiTheme="majorHAnsi" w:cstheme="majorHAnsi"/>
          <w:color w:val="000000" w:themeColor="text1"/>
        </w:rPr>
      </w:pPr>
      <w:r>
        <w:rPr>
          <w:rFonts w:asciiTheme="majorHAnsi" w:hAnsiTheme="majorHAnsi" w:cstheme="majorHAnsi"/>
          <w:color w:val="000000" w:themeColor="text1"/>
        </w:rPr>
        <w:t xml:space="preserve">In the case of non-publics, the external vendor understands that it can complete monitoring efforts and provide a letter with findings </w:t>
      </w:r>
      <w:r w:rsidR="005536B4">
        <w:rPr>
          <w:rFonts w:asciiTheme="majorHAnsi" w:hAnsiTheme="majorHAnsi" w:cstheme="majorHAnsi"/>
          <w:color w:val="000000" w:themeColor="text1"/>
        </w:rPr>
        <w:t xml:space="preserve">at the end of </w:t>
      </w:r>
      <w:r w:rsidR="00175437">
        <w:rPr>
          <w:rFonts w:asciiTheme="majorHAnsi" w:hAnsiTheme="majorHAnsi" w:cstheme="majorHAnsi"/>
          <w:color w:val="000000" w:themeColor="text1"/>
        </w:rPr>
        <w:t xml:space="preserve">July </w:t>
      </w:r>
      <w:r>
        <w:rPr>
          <w:rFonts w:asciiTheme="majorHAnsi" w:hAnsiTheme="majorHAnsi" w:cstheme="majorHAnsi"/>
          <w:color w:val="000000" w:themeColor="text1"/>
        </w:rPr>
        <w:t>2021, if PRDE provides all files</w:t>
      </w:r>
      <w:r w:rsidR="00175437">
        <w:rPr>
          <w:rFonts w:asciiTheme="majorHAnsi" w:hAnsiTheme="majorHAnsi" w:cstheme="majorHAnsi"/>
          <w:color w:val="000000" w:themeColor="text1"/>
        </w:rPr>
        <w:t xml:space="preserve">, accesses </w:t>
      </w:r>
      <w:r>
        <w:rPr>
          <w:rFonts w:asciiTheme="majorHAnsi" w:hAnsiTheme="majorHAnsi" w:cstheme="majorHAnsi"/>
          <w:color w:val="000000" w:themeColor="text1"/>
        </w:rPr>
        <w:t xml:space="preserve">and documentation on a timely manner. PRDE will immediately start to work with any lack of information, missing documents, deficiency or noncompliance noted and will respond </w:t>
      </w:r>
      <w:r w:rsidR="005536B4">
        <w:rPr>
          <w:rFonts w:asciiTheme="majorHAnsi" w:hAnsiTheme="majorHAnsi" w:cstheme="majorHAnsi"/>
          <w:color w:val="000000" w:themeColor="text1"/>
        </w:rPr>
        <w:t xml:space="preserve">on or before </w:t>
      </w:r>
      <w:r>
        <w:rPr>
          <w:rFonts w:asciiTheme="majorHAnsi" w:hAnsiTheme="majorHAnsi" w:cstheme="majorHAnsi"/>
          <w:color w:val="000000" w:themeColor="text1"/>
        </w:rPr>
        <w:t xml:space="preserve">one-month to the external monitor for their </w:t>
      </w:r>
      <w:r w:rsidR="00F9484A">
        <w:rPr>
          <w:rFonts w:asciiTheme="majorHAnsi" w:hAnsiTheme="majorHAnsi" w:cstheme="majorHAnsi"/>
          <w:color w:val="000000" w:themeColor="text1"/>
        </w:rPr>
        <w:t>consideration,</w:t>
      </w:r>
      <w:r w:rsidR="00175437">
        <w:rPr>
          <w:rFonts w:asciiTheme="majorHAnsi" w:hAnsiTheme="majorHAnsi" w:cstheme="majorHAnsi"/>
          <w:color w:val="000000" w:themeColor="text1"/>
        </w:rPr>
        <w:t xml:space="preserve"> and final written communication. </w:t>
      </w:r>
      <w:r>
        <w:rPr>
          <w:rFonts w:asciiTheme="majorHAnsi" w:hAnsiTheme="majorHAnsi" w:cstheme="majorHAnsi"/>
          <w:color w:val="000000" w:themeColor="text1"/>
        </w:rPr>
        <w:t xml:space="preserve"> </w:t>
      </w:r>
    </w:p>
    <w:p w14:paraId="73DA28D6" w14:textId="77777777" w:rsidR="007C331C" w:rsidRPr="00AE1922" w:rsidRDefault="007C331C" w:rsidP="00BE6E8E">
      <w:pPr>
        <w:pStyle w:val="Default"/>
        <w:spacing w:after="9" w:line="259" w:lineRule="auto"/>
        <w:ind w:left="360"/>
        <w:jc w:val="both"/>
        <w:rPr>
          <w:rFonts w:asciiTheme="majorHAnsi" w:hAnsiTheme="majorHAnsi" w:cstheme="majorHAnsi"/>
          <w:color w:val="000000" w:themeColor="text1"/>
          <w:highlight w:val="yellow"/>
        </w:rPr>
      </w:pPr>
    </w:p>
    <w:p w14:paraId="0B0C7409" w14:textId="7A0AE1A1" w:rsidR="002C0E6B" w:rsidRPr="00FF02E3" w:rsidRDefault="00150427" w:rsidP="00FF02E3">
      <w:pPr>
        <w:pStyle w:val="Default"/>
        <w:numPr>
          <w:ilvl w:val="0"/>
          <w:numId w:val="1"/>
        </w:numPr>
        <w:spacing w:after="9" w:line="259" w:lineRule="auto"/>
        <w:ind w:left="360"/>
        <w:jc w:val="both"/>
        <w:rPr>
          <w:rFonts w:asciiTheme="majorHAnsi" w:hAnsiTheme="majorHAnsi" w:cstheme="majorBidi"/>
          <w:color w:val="000000" w:themeColor="text1"/>
        </w:rPr>
      </w:pPr>
      <w:r>
        <w:rPr>
          <w:rFonts w:ascii="Montserrat" w:hAnsi="Montserrat"/>
          <w:noProof/>
          <w:color w:val="1FA7AF"/>
          <w:sz w:val="20"/>
          <w:szCs w:val="20"/>
        </w:rPr>
        <w:drawing>
          <wp:anchor distT="0" distB="0" distL="114300" distR="114300" simplePos="0" relativeHeight="251665408" behindDoc="1" locked="0" layoutInCell="1" allowOverlap="1" wp14:anchorId="10E50939" wp14:editId="3D9F95B1">
            <wp:simplePos x="0" y="0"/>
            <wp:positionH relativeFrom="column">
              <wp:posOffset>5661025</wp:posOffset>
            </wp:positionH>
            <wp:positionV relativeFrom="paragraph">
              <wp:posOffset>36830</wp:posOffset>
            </wp:positionV>
            <wp:extent cx="721360" cy="929640"/>
            <wp:effectExtent l="0" t="0" r="2540" b="3810"/>
            <wp:wrapTight wrapText="bothSides">
              <wp:wrapPolygon edited="0">
                <wp:start x="0" y="0"/>
                <wp:lineTo x="0" y="21246"/>
                <wp:lineTo x="21106" y="21246"/>
                <wp:lineTo x="21106" y="0"/>
                <wp:lineTo x="0" y="0"/>
              </wp:wrapPolygon>
            </wp:wrapTight>
            <wp:docPr id="4" name="Picture 4" descr="https://de.pr.gov/wp-content/uploads/2019/08/oig-frau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pr.gov/wp-content/uploads/2019/08/oig-fraud.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36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E6B" w:rsidRPr="00FF02E3">
        <w:rPr>
          <w:rFonts w:asciiTheme="majorHAnsi" w:hAnsiTheme="majorHAnsi" w:cstheme="majorBidi"/>
          <w:color w:val="000000" w:themeColor="text1"/>
        </w:rPr>
        <w:t xml:space="preserve"> As another way to identify risk, PRDE created an email address: </w:t>
      </w:r>
      <w:r w:rsidR="002C0E6B" w:rsidRPr="00FF02E3">
        <w:rPr>
          <w:rFonts w:ascii="Segoe UI" w:hAnsi="Segoe UI" w:cs="Segoe UI"/>
          <w:color w:val="0078D7"/>
          <w:sz w:val="22"/>
          <w:szCs w:val="22"/>
          <w:highlight w:val="white"/>
        </w:rPr>
        <w:t>frauderestart@de.pr.gov</w:t>
      </w:r>
      <w:r w:rsidR="002C0E6B" w:rsidRPr="00FF02E3">
        <w:rPr>
          <w:rFonts w:asciiTheme="majorHAnsi" w:hAnsiTheme="majorHAnsi" w:cstheme="majorBidi"/>
          <w:color w:val="000000" w:themeColor="text1"/>
        </w:rPr>
        <w:t xml:space="preserve"> </w:t>
      </w:r>
      <w:r w:rsidR="00AE1922" w:rsidRPr="00FF02E3">
        <w:rPr>
          <w:rFonts w:asciiTheme="majorHAnsi" w:hAnsiTheme="majorHAnsi" w:cstheme="majorBidi"/>
          <w:color w:val="000000" w:themeColor="text1"/>
        </w:rPr>
        <w:t>and published</w:t>
      </w:r>
      <w:r w:rsidR="002C0E6B" w:rsidRPr="00FF02E3">
        <w:rPr>
          <w:rFonts w:asciiTheme="majorHAnsi" w:hAnsiTheme="majorHAnsi" w:cstheme="majorBidi"/>
          <w:color w:val="000000" w:themeColor="text1"/>
        </w:rPr>
        <w:t xml:space="preserve"> it in its website for reporting of fraud, waste and abuse, to provide anyone with the opportunity to let PRDE know of activities that concern them. Any information obtained through this email will be considered in the risk assessment.  I</w:t>
      </w:r>
      <w:r w:rsidR="00A81271" w:rsidRPr="00FF02E3">
        <w:rPr>
          <w:rFonts w:asciiTheme="majorHAnsi" w:hAnsiTheme="majorHAnsi" w:cstheme="majorBidi"/>
          <w:color w:val="000000" w:themeColor="text1"/>
        </w:rPr>
        <w:t>n</w:t>
      </w:r>
      <w:r w:rsidR="002C0E6B" w:rsidRPr="00FF02E3">
        <w:rPr>
          <w:rFonts w:asciiTheme="majorHAnsi" w:hAnsiTheme="majorHAnsi" w:cstheme="majorBidi"/>
          <w:color w:val="000000" w:themeColor="text1"/>
        </w:rPr>
        <w:t xml:space="preserve"> addition, a poster is posted in the walls of several </w:t>
      </w:r>
      <w:r w:rsidR="00C539FD" w:rsidRPr="00FF02E3">
        <w:rPr>
          <w:rFonts w:asciiTheme="majorHAnsi" w:hAnsiTheme="majorHAnsi" w:cstheme="majorBidi"/>
          <w:color w:val="000000" w:themeColor="text1"/>
        </w:rPr>
        <w:t>offices</w:t>
      </w:r>
      <w:r w:rsidR="002C0E6B" w:rsidRPr="00FF02E3">
        <w:rPr>
          <w:rFonts w:asciiTheme="majorHAnsi" w:hAnsiTheme="majorHAnsi" w:cstheme="majorBidi"/>
          <w:color w:val="000000" w:themeColor="text1"/>
        </w:rPr>
        <w:t xml:space="preserve"> of AFSA</w:t>
      </w:r>
    </w:p>
    <w:p w14:paraId="77CC3D08" w14:textId="77777777" w:rsidR="002C0E6B" w:rsidRPr="00D35AEE" w:rsidRDefault="002C0E6B" w:rsidP="00D35AEE">
      <w:pPr>
        <w:pStyle w:val="Default"/>
        <w:spacing w:after="9"/>
        <w:ind w:left="720"/>
        <w:jc w:val="both"/>
        <w:rPr>
          <w:rFonts w:asciiTheme="majorHAnsi" w:hAnsiTheme="majorHAnsi" w:cstheme="majorHAnsi"/>
          <w:color w:val="FF0000"/>
          <w:sz w:val="22"/>
          <w:szCs w:val="22"/>
        </w:rPr>
      </w:pPr>
    </w:p>
    <w:p w14:paraId="714E4BD9" w14:textId="176B4BFA" w:rsidR="00F54322" w:rsidRPr="00C539FD" w:rsidRDefault="00F54322" w:rsidP="00C539FD">
      <w:pPr>
        <w:pStyle w:val="Heading3"/>
      </w:pPr>
      <w:r w:rsidRPr="00C539FD">
        <w:t>C</w:t>
      </w:r>
      <w:r w:rsidR="00972733" w:rsidRPr="00C539FD">
        <w:t>ontrol</w:t>
      </w:r>
      <w:r w:rsidRPr="00C539FD">
        <w:t xml:space="preserve"> A</w:t>
      </w:r>
      <w:r w:rsidR="00972733" w:rsidRPr="00C539FD">
        <w:t>ctivities</w:t>
      </w:r>
    </w:p>
    <w:p w14:paraId="63C0AC0E" w14:textId="77777777" w:rsidR="005E580E" w:rsidRPr="00342E9E" w:rsidRDefault="00F54322" w:rsidP="005E580E">
      <w:pPr>
        <w:jc w:val="both"/>
        <w:rPr>
          <w:rFonts w:asciiTheme="majorHAnsi" w:hAnsiTheme="majorHAnsi" w:cstheme="majorHAnsi"/>
        </w:rPr>
      </w:pPr>
      <w:r w:rsidRPr="00342E9E">
        <w:rPr>
          <w:rFonts w:asciiTheme="majorHAnsi" w:hAnsiTheme="majorHAnsi" w:cstheme="majorHAnsi"/>
        </w:rPr>
        <w:t>Control Activities constitute the third internal control component. Control activities are the actions an organization takes to mitigate the risks that have been identified (COSO, 2014</w:t>
      </w:r>
      <w:r w:rsidR="005E580E" w:rsidRPr="00342E9E">
        <w:rPr>
          <w:rStyle w:val="FootnoteReference"/>
          <w:rFonts w:asciiTheme="majorHAnsi" w:hAnsiTheme="majorHAnsi" w:cstheme="majorHAnsi"/>
        </w:rPr>
        <w:footnoteReference w:id="8"/>
      </w:r>
      <w:r w:rsidRPr="00342E9E">
        <w:rPr>
          <w:rFonts w:asciiTheme="majorHAnsi" w:hAnsiTheme="majorHAnsi" w:cstheme="majorHAnsi"/>
        </w:rPr>
        <w:t>, GAO 2002</w:t>
      </w:r>
      <w:r w:rsidR="005E580E" w:rsidRPr="00342E9E">
        <w:rPr>
          <w:rStyle w:val="FootnoteReference"/>
          <w:rFonts w:asciiTheme="majorHAnsi" w:hAnsiTheme="majorHAnsi" w:cstheme="majorHAnsi"/>
        </w:rPr>
        <w:footnoteReference w:id="9"/>
      </w:r>
      <w:r w:rsidRPr="00342E9E">
        <w:rPr>
          <w:rFonts w:asciiTheme="majorHAnsi" w:hAnsiTheme="majorHAnsi" w:cstheme="majorHAnsi"/>
        </w:rPr>
        <w:t xml:space="preserve">). Control activities are PRDE documented actions established to serve as gatekeepers to assure that objectives are </w:t>
      </w:r>
      <w:r w:rsidRPr="00342E9E">
        <w:rPr>
          <w:rFonts w:asciiTheme="majorHAnsi" w:hAnsiTheme="majorHAnsi" w:cstheme="majorHAnsi"/>
        </w:rPr>
        <w:lastRenderedPageBreak/>
        <w:t xml:space="preserve">achieved.  Control activities occur at all levels and functions.  They include a wide range of diverse activities such as training, approvals, authorizations, verifications, reconciliations, performance reviews, segregated duties, security measures, and the creation and maintenance of appropriate documentation. These activities include implementing policies, procedures, and mechanisms to mitigate the risks that threaten an organization's success. </w:t>
      </w:r>
    </w:p>
    <w:p w14:paraId="71958866" w14:textId="77777777" w:rsidR="005E580E" w:rsidRPr="00342E9E" w:rsidRDefault="005E580E" w:rsidP="005E580E">
      <w:pPr>
        <w:jc w:val="both"/>
        <w:rPr>
          <w:rFonts w:asciiTheme="majorHAnsi" w:hAnsiTheme="majorHAnsi" w:cstheme="majorHAnsi"/>
        </w:rPr>
      </w:pPr>
    </w:p>
    <w:p w14:paraId="109E9FCD" w14:textId="77777777" w:rsidR="00F54322" w:rsidRPr="00342E9E" w:rsidRDefault="00F54322" w:rsidP="005E580E">
      <w:pPr>
        <w:jc w:val="both"/>
        <w:rPr>
          <w:rFonts w:asciiTheme="majorHAnsi" w:hAnsiTheme="majorHAnsi" w:cstheme="majorHAnsi"/>
        </w:rPr>
      </w:pPr>
      <w:r w:rsidRPr="00342E9E">
        <w:rPr>
          <w:rFonts w:asciiTheme="majorHAnsi" w:hAnsiTheme="majorHAnsi" w:cstheme="majorHAnsi"/>
        </w:rPr>
        <w:t xml:space="preserve">The following are some of the </w:t>
      </w:r>
      <w:r w:rsidR="00E86516" w:rsidRPr="00342E9E">
        <w:rPr>
          <w:rFonts w:asciiTheme="majorHAnsi" w:hAnsiTheme="majorHAnsi" w:cstheme="majorHAnsi"/>
        </w:rPr>
        <w:t>key</w:t>
      </w:r>
      <w:r w:rsidR="0051621F">
        <w:rPr>
          <w:rFonts w:asciiTheme="majorHAnsi" w:hAnsiTheme="majorHAnsi" w:cstheme="majorHAnsi"/>
        </w:rPr>
        <w:t xml:space="preserve"> takea</w:t>
      </w:r>
      <w:r w:rsidR="00E86516" w:rsidRPr="00342E9E">
        <w:rPr>
          <w:rFonts w:asciiTheme="majorHAnsi" w:hAnsiTheme="majorHAnsi" w:cstheme="majorHAnsi"/>
        </w:rPr>
        <w:t>ways</w:t>
      </w:r>
      <w:r w:rsidRPr="00342E9E">
        <w:rPr>
          <w:rFonts w:asciiTheme="majorHAnsi" w:hAnsiTheme="majorHAnsi" w:cstheme="majorHAnsi"/>
        </w:rPr>
        <w:t xml:space="preserve"> in which PRDE controls</w:t>
      </w:r>
      <w:r w:rsidR="00E86516" w:rsidRPr="00342E9E">
        <w:rPr>
          <w:rFonts w:asciiTheme="majorHAnsi" w:hAnsiTheme="majorHAnsi" w:cstheme="majorHAnsi"/>
        </w:rPr>
        <w:t xml:space="preserve"> </w:t>
      </w:r>
      <w:r w:rsidR="0051621F">
        <w:rPr>
          <w:rFonts w:asciiTheme="majorHAnsi" w:hAnsiTheme="majorHAnsi" w:cstheme="majorHAnsi"/>
        </w:rPr>
        <w:t xml:space="preserve">were </w:t>
      </w:r>
      <w:r w:rsidR="00E86516" w:rsidRPr="00342E9E">
        <w:rPr>
          <w:rFonts w:asciiTheme="majorHAnsi" w:hAnsiTheme="majorHAnsi" w:cstheme="majorHAnsi"/>
        </w:rPr>
        <w:t>established</w:t>
      </w:r>
      <w:r w:rsidRPr="00342E9E">
        <w:rPr>
          <w:rFonts w:asciiTheme="majorHAnsi" w:hAnsiTheme="majorHAnsi" w:cstheme="majorHAnsi"/>
        </w:rPr>
        <w:t xml:space="preserve">: </w:t>
      </w:r>
    </w:p>
    <w:p w14:paraId="306540EF" w14:textId="77777777" w:rsidR="00F54322" w:rsidRPr="00342E9E" w:rsidRDefault="00F54322" w:rsidP="00342E9E">
      <w:pPr>
        <w:pStyle w:val="ListParagraph"/>
        <w:numPr>
          <w:ilvl w:val="0"/>
          <w:numId w:val="22"/>
        </w:numPr>
        <w:jc w:val="both"/>
        <w:rPr>
          <w:rFonts w:asciiTheme="majorHAnsi" w:hAnsiTheme="majorHAnsi" w:cstheme="majorHAnsi"/>
        </w:rPr>
      </w:pPr>
      <w:r w:rsidRPr="00342E9E">
        <w:rPr>
          <w:rFonts w:asciiTheme="majorHAnsi" w:hAnsiTheme="majorHAnsi" w:cstheme="majorHAnsi"/>
        </w:rPr>
        <w:t>Segregating responsibilities so that one employee does not have full control or carry out all fiscal duties</w:t>
      </w:r>
      <w:r w:rsidR="00E86516" w:rsidRPr="00342E9E">
        <w:rPr>
          <w:rFonts w:asciiTheme="majorHAnsi" w:hAnsiTheme="majorHAnsi" w:cstheme="majorHAnsi"/>
        </w:rPr>
        <w:t xml:space="preserve"> (Organization chart.  Fiscal Procedures Guide)</w:t>
      </w:r>
      <w:r w:rsidRPr="00342E9E">
        <w:rPr>
          <w:rFonts w:asciiTheme="majorHAnsi" w:hAnsiTheme="majorHAnsi" w:cstheme="majorHAnsi"/>
        </w:rPr>
        <w:t>.</w:t>
      </w:r>
    </w:p>
    <w:p w14:paraId="3778D2E9" w14:textId="77777777" w:rsidR="00F54322" w:rsidRPr="00342E9E" w:rsidRDefault="00F54322" w:rsidP="00342E9E">
      <w:pPr>
        <w:pStyle w:val="ListParagraph"/>
        <w:numPr>
          <w:ilvl w:val="0"/>
          <w:numId w:val="22"/>
        </w:numPr>
        <w:jc w:val="both"/>
        <w:rPr>
          <w:rFonts w:asciiTheme="majorHAnsi" w:hAnsiTheme="majorHAnsi" w:cstheme="majorHAnsi"/>
        </w:rPr>
      </w:pPr>
      <w:r w:rsidRPr="00342E9E">
        <w:rPr>
          <w:rFonts w:asciiTheme="majorHAnsi" w:hAnsiTheme="majorHAnsi" w:cstheme="majorHAnsi"/>
        </w:rPr>
        <w:t>Performance reviews</w:t>
      </w:r>
    </w:p>
    <w:p w14:paraId="3140166D" w14:textId="77777777" w:rsidR="00F54322" w:rsidRPr="00342E9E" w:rsidRDefault="006B5649" w:rsidP="00342E9E">
      <w:pPr>
        <w:pStyle w:val="ListParagraph"/>
        <w:numPr>
          <w:ilvl w:val="0"/>
          <w:numId w:val="22"/>
        </w:numPr>
        <w:jc w:val="both"/>
        <w:rPr>
          <w:rFonts w:asciiTheme="majorHAnsi" w:hAnsiTheme="majorHAnsi" w:cstheme="majorHAnsi"/>
        </w:rPr>
      </w:pPr>
      <w:r w:rsidRPr="00342E9E">
        <w:rPr>
          <w:rFonts w:asciiTheme="majorHAnsi" w:hAnsiTheme="majorHAnsi" w:cstheme="majorHAnsi"/>
        </w:rPr>
        <w:t>D</w:t>
      </w:r>
      <w:r w:rsidR="00F54322" w:rsidRPr="00342E9E">
        <w:rPr>
          <w:rFonts w:asciiTheme="majorHAnsi" w:hAnsiTheme="majorHAnsi" w:cstheme="majorHAnsi"/>
        </w:rPr>
        <w:t>ocument</w:t>
      </w:r>
      <w:r w:rsidRPr="00342E9E">
        <w:rPr>
          <w:rFonts w:asciiTheme="majorHAnsi" w:hAnsiTheme="majorHAnsi" w:cstheme="majorHAnsi"/>
        </w:rPr>
        <w:t xml:space="preserve">ing </w:t>
      </w:r>
      <w:r w:rsidR="003F7C82" w:rsidRPr="00342E9E">
        <w:rPr>
          <w:rFonts w:asciiTheme="majorHAnsi" w:hAnsiTheme="majorHAnsi" w:cstheme="majorHAnsi"/>
        </w:rPr>
        <w:t>necessary tran</w:t>
      </w:r>
      <w:r w:rsidR="00553214" w:rsidRPr="00342E9E">
        <w:rPr>
          <w:rFonts w:asciiTheme="majorHAnsi" w:hAnsiTheme="majorHAnsi" w:cstheme="majorHAnsi"/>
        </w:rPr>
        <w:t>s</w:t>
      </w:r>
      <w:r w:rsidR="003F7C82" w:rsidRPr="00342E9E">
        <w:rPr>
          <w:rFonts w:asciiTheme="majorHAnsi" w:hAnsiTheme="majorHAnsi" w:cstheme="majorHAnsi"/>
        </w:rPr>
        <w:t>actions</w:t>
      </w:r>
      <w:r w:rsidR="00E86516" w:rsidRPr="00342E9E">
        <w:rPr>
          <w:rFonts w:asciiTheme="majorHAnsi" w:hAnsiTheme="majorHAnsi" w:cstheme="majorHAnsi"/>
        </w:rPr>
        <w:t xml:space="preserve"> (Documentation in SIFDE, physical records, Documents in the cloud)</w:t>
      </w:r>
    </w:p>
    <w:p w14:paraId="02A92F04" w14:textId="77777777" w:rsidR="00F54322" w:rsidRPr="00342E9E" w:rsidRDefault="00F54322" w:rsidP="00342E9E">
      <w:pPr>
        <w:pStyle w:val="ListParagraph"/>
        <w:numPr>
          <w:ilvl w:val="0"/>
          <w:numId w:val="22"/>
        </w:numPr>
        <w:jc w:val="both"/>
        <w:rPr>
          <w:rFonts w:asciiTheme="majorHAnsi" w:hAnsiTheme="majorHAnsi" w:cstheme="majorHAnsi"/>
        </w:rPr>
      </w:pPr>
      <w:r w:rsidRPr="00342E9E">
        <w:rPr>
          <w:rFonts w:asciiTheme="majorHAnsi" w:hAnsiTheme="majorHAnsi" w:cstheme="majorHAnsi"/>
        </w:rPr>
        <w:t xml:space="preserve">Ensuring that proper security is in place for systems and records, such as requiring passwords and restricted authorizations </w:t>
      </w:r>
      <w:r w:rsidR="00E86516" w:rsidRPr="00342E9E">
        <w:rPr>
          <w:rFonts w:asciiTheme="majorHAnsi" w:hAnsiTheme="majorHAnsi" w:cstheme="majorHAnsi"/>
        </w:rPr>
        <w:t xml:space="preserve">(Passwords, Security Protocols for Information Systems, Physical records on secured area) </w:t>
      </w:r>
    </w:p>
    <w:p w14:paraId="2F7D50A5" w14:textId="77777777" w:rsidR="00F54322" w:rsidRPr="00342E9E" w:rsidRDefault="00F54322" w:rsidP="00342E9E">
      <w:pPr>
        <w:pStyle w:val="ListParagraph"/>
        <w:numPr>
          <w:ilvl w:val="0"/>
          <w:numId w:val="22"/>
        </w:numPr>
        <w:jc w:val="both"/>
        <w:rPr>
          <w:rFonts w:asciiTheme="majorHAnsi" w:hAnsiTheme="majorHAnsi" w:cstheme="majorHAnsi"/>
        </w:rPr>
      </w:pPr>
      <w:r w:rsidRPr="00342E9E">
        <w:rPr>
          <w:rFonts w:asciiTheme="majorHAnsi" w:hAnsiTheme="majorHAnsi" w:cstheme="majorHAnsi"/>
        </w:rPr>
        <w:t xml:space="preserve">Keeping equipment and other assets secured </w:t>
      </w:r>
      <w:r w:rsidR="005E580E" w:rsidRPr="00342E9E">
        <w:rPr>
          <w:rFonts w:asciiTheme="majorHAnsi" w:hAnsiTheme="majorHAnsi" w:cstheme="majorHAnsi"/>
        </w:rPr>
        <w:t>(secured area)</w:t>
      </w:r>
    </w:p>
    <w:p w14:paraId="758B9984" w14:textId="77777777" w:rsidR="00F54322" w:rsidRPr="00342E9E" w:rsidRDefault="00F54322" w:rsidP="00342E9E">
      <w:pPr>
        <w:pStyle w:val="ListParagraph"/>
        <w:numPr>
          <w:ilvl w:val="0"/>
          <w:numId w:val="22"/>
        </w:numPr>
        <w:jc w:val="both"/>
        <w:rPr>
          <w:rFonts w:asciiTheme="majorHAnsi" w:hAnsiTheme="majorHAnsi" w:cstheme="majorHAnsi"/>
        </w:rPr>
      </w:pPr>
      <w:r w:rsidRPr="00342E9E">
        <w:rPr>
          <w:rFonts w:asciiTheme="majorHAnsi" w:hAnsiTheme="majorHAnsi" w:cstheme="majorHAnsi"/>
        </w:rPr>
        <w:t xml:space="preserve">Maintaining clear </w:t>
      </w:r>
      <w:bookmarkStart w:id="0" w:name="_Hlk32311930"/>
      <w:r w:rsidRPr="00342E9E">
        <w:rPr>
          <w:rFonts w:asciiTheme="majorHAnsi" w:hAnsiTheme="majorHAnsi" w:cstheme="majorHAnsi"/>
        </w:rPr>
        <w:t>documentation of all procedures, including approvals and record retention</w:t>
      </w:r>
      <w:r w:rsidR="00E86516" w:rsidRPr="00342E9E">
        <w:rPr>
          <w:rFonts w:asciiTheme="majorHAnsi" w:hAnsiTheme="majorHAnsi" w:cstheme="majorHAnsi"/>
        </w:rPr>
        <w:t xml:space="preserve"> (Initiative records)</w:t>
      </w:r>
      <w:r w:rsidRPr="00342E9E">
        <w:rPr>
          <w:rFonts w:asciiTheme="majorHAnsi" w:hAnsiTheme="majorHAnsi" w:cstheme="majorHAnsi"/>
        </w:rPr>
        <w:t xml:space="preserve"> </w:t>
      </w:r>
    </w:p>
    <w:bookmarkEnd w:id="0"/>
    <w:p w14:paraId="078D4A0D" w14:textId="77777777" w:rsidR="00F54322" w:rsidRPr="00342E9E" w:rsidRDefault="00F54322" w:rsidP="00342E9E">
      <w:pPr>
        <w:pStyle w:val="ListParagraph"/>
        <w:numPr>
          <w:ilvl w:val="0"/>
          <w:numId w:val="22"/>
        </w:numPr>
        <w:jc w:val="both"/>
        <w:rPr>
          <w:rFonts w:asciiTheme="majorHAnsi" w:hAnsiTheme="majorHAnsi" w:cstheme="majorHAnsi"/>
        </w:rPr>
      </w:pPr>
      <w:r w:rsidRPr="00342E9E">
        <w:rPr>
          <w:rFonts w:asciiTheme="majorHAnsi" w:hAnsiTheme="majorHAnsi" w:cstheme="majorHAnsi"/>
        </w:rPr>
        <w:t>Due to the rapid changes in information technology, management over an organization's information systems must keep pace to remain effective</w:t>
      </w:r>
      <w:r w:rsidR="00E86516" w:rsidRPr="00342E9E">
        <w:rPr>
          <w:rFonts w:asciiTheme="majorHAnsi" w:hAnsiTheme="majorHAnsi" w:cstheme="majorHAnsi"/>
        </w:rPr>
        <w:t xml:space="preserve"> (Passwords, Security Protocols for Information Systems)</w:t>
      </w:r>
    </w:p>
    <w:p w14:paraId="1E8C2F63" w14:textId="77777777" w:rsidR="009C0440" w:rsidRDefault="009C0440" w:rsidP="00342E9E"/>
    <w:p w14:paraId="0302B253" w14:textId="77777777" w:rsidR="00342E9E" w:rsidRPr="00342E9E" w:rsidRDefault="00342E9E" w:rsidP="00342E9E"/>
    <w:p w14:paraId="197FC6F6" w14:textId="77777777" w:rsidR="00F54322" w:rsidRPr="004A1115" w:rsidRDefault="00F54322" w:rsidP="00034F0A">
      <w:pPr>
        <w:pStyle w:val="Heading4"/>
        <w:rPr>
          <w:i w:val="0"/>
          <w:iCs w:val="0"/>
        </w:rPr>
      </w:pPr>
      <w:r w:rsidRPr="004A1115">
        <w:rPr>
          <w:i w:val="0"/>
          <w:iCs w:val="0"/>
        </w:rPr>
        <w:t xml:space="preserve">Types of Controls Activities </w:t>
      </w:r>
    </w:p>
    <w:p w14:paraId="560096AC" w14:textId="77777777" w:rsidR="00F54322" w:rsidRPr="00342E9E" w:rsidRDefault="00F54322" w:rsidP="00F54322">
      <w:pPr>
        <w:jc w:val="both"/>
        <w:rPr>
          <w:rFonts w:asciiTheme="majorHAnsi" w:hAnsiTheme="majorHAnsi" w:cstheme="majorHAnsi"/>
        </w:rPr>
      </w:pPr>
      <w:r w:rsidRPr="00342E9E">
        <w:rPr>
          <w:rFonts w:asciiTheme="majorHAnsi" w:hAnsiTheme="majorHAnsi" w:cstheme="majorHAnsi"/>
        </w:rPr>
        <w:t xml:space="preserve">The goal of any internal control system is to reduce the risk of fraud, waste, or abuse. In order to do this, different types of controls must be in place. Three general types of internal controls are preventative, detective, and corrective. </w:t>
      </w:r>
    </w:p>
    <w:p w14:paraId="6FA12404" w14:textId="77777777" w:rsidR="00F54322" w:rsidRPr="00342E9E" w:rsidRDefault="00F54322" w:rsidP="00F54322">
      <w:pPr>
        <w:pStyle w:val="Default"/>
        <w:spacing w:after="9"/>
        <w:jc w:val="both"/>
        <w:rPr>
          <w:rFonts w:asciiTheme="majorHAnsi" w:hAnsiTheme="majorHAnsi" w:cstheme="majorHAns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2419"/>
        <w:gridCol w:w="5950"/>
      </w:tblGrid>
      <w:tr w:rsidR="00342E9E" w:rsidRPr="00342E9E" w14:paraId="263E3949" w14:textId="77777777" w:rsidTr="00034F0A">
        <w:trPr>
          <w:trHeight w:val="585"/>
          <w:tblHeader/>
        </w:trPr>
        <w:tc>
          <w:tcPr>
            <w:tcW w:w="1631" w:type="dxa"/>
            <w:tcBorders>
              <w:top w:val="single" w:sz="12" w:space="0" w:color="auto"/>
              <w:bottom w:val="single" w:sz="12" w:space="0" w:color="auto"/>
            </w:tcBorders>
            <w:vAlign w:val="center"/>
          </w:tcPr>
          <w:p w14:paraId="13EF9E00" w14:textId="77777777" w:rsidR="00F54322" w:rsidRPr="00342E9E" w:rsidRDefault="00F54322" w:rsidP="001B50CE">
            <w:pPr>
              <w:jc w:val="center"/>
              <w:rPr>
                <w:rFonts w:ascii="Calibri" w:hAnsi="Calibri" w:cstheme="minorHAnsi"/>
                <w:sz w:val="22"/>
                <w:szCs w:val="22"/>
              </w:rPr>
            </w:pPr>
            <w:r w:rsidRPr="00342E9E">
              <w:rPr>
                <w:rFonts w:ascii="Calibri" w:hAnsi="Calibri" w:cstheme="minorHAnsi"/>
                <w:sz w:val="22"/>
                <w:szCs w:val="22"/>
              </w:rPr>
              <w:t>Types of controls</w:t>
            </w:r>
          </w:p>
        </w:tc>
        <w:tc>
          <w:tcPr>
            <w:tcW w:w="2419" w:type="dxa"/>
            <w:tcBorders>
              <w:top w:val="single" w:sz="12" w:space="0" w:color="auto"/>
              <w:bottom w:val="single" w:sz="12" w:space="0" w:color="auto"/>
            </w:tcBorders>
            <w:vAlign w:val="center"/>
          </w:tcPr>
          <w:p w14:paraId="6A8D12E1" w14:textId="77777777" w:rsidR="00F54322" w:rsidRPr="00342E9E" w:rsidRDefault="00F54322" w:rsidP="001B50CE">
            <w:pPr>
              <w:jc w:val="center"/>
              <w:rPr>
                <w:rFonts w:ascii="Calibri" w:hAnsi="Calibri" w:cstheme="minorHAnsi"/>
                <w:sz w:val="22"/>
                <w:szCs w:val="22"/>
              </w:rPr>
            </w:pPr>
            <w:r w:rsidRPr="00342E9E">
              <w:rPr>
                <w:rFonts w:ascii="Calibri" w:hAnsi="Calibri" w:cstheme="minorHAnsi"/>
                <w:sz w:val="22"/>
                <w:szCs w:val="22"/>
              </w:rPr>
              <w:t>What it does</w:t>
            </w:r>
          </w:p>
        </w:tc>
        <w:tc>
          <w:tcPr>
            <w:tcW w:w="5950" w:type="dxa"/>
            <w:tcBorders>
              <w:top w:val="single" w:sz="12" w:space="0" w:color="auto"/>
              <w:bottom w:val="single" w:sz="12" w:space="0" w:color="auto"/>
            </w:tcBorders>
            <w:vAlign w:val="center"/>
          </w:tcPr>
          <w:p w14:paraId="411A3A60" w14:textId="77777777" w:rsidR="00F54322" w:rsidRPr="00342E9E" w:rsidRDefault="00F54322" w:rsidP="001B50CE">
            <w:pPr>
              <w:jc w:val="center"/>
              <w:rPr>
                <w:rFonts w:ascii="Calibri" w:hAnsi="Calibri" w:cstheme="minorHAnsi"/>
                <w:sz w:val="22"/>
                <w:szCs w:val="22"/>
              </w:rPr>
            </w:pPr>
            <w:r w:rsidRPr="00342E9E">
              <w:rPr>
                <w:rFonts w:ascii="Calibri" w:hAnsi="Calibri" w:cstheme="minorHAnsi"/>
                <w:sz w:val="22"/>
                <w:szCs w:val="22"/>
              </w:rPr>
              <w:t>Activities</w:t>
            </w:r>
          </w:p>
        </w:tc>
      </w:tr>
      <w:tr w:rsidR="00342E9E" w:rsidRPr="00342E9E" w14:paraId="695D5972" w14:textId="77777777" w:rsidTr="005E580E">
        <w:trPr>
          <w:trHeight w:val="1977"/>
        </w:trPr>
        <w:tc>
          <w:tcPr>
            <w:tcW w:w="1631" w:type="dxa"/>
            <w:tcBorders>
              <w:top w:val="single" w:sz="12" w:space="0" w:color="auto"/>
            </w:tcBorders>
          </w:tcPr>
          <w:p w14:paraId="3C287924" w14:textId="77777777" w:rsidR="00F54322" w:rsidRPr="00342E9E" w:rsidRDefault="00F54322" w:rsidP="001B50CE">
            <w:pPr>
              <w:jc w:val="center"/>
              <w:rPr>
                <w:rFonts w:ascii="Calibri" w:hAnsi="Calibri" w:cstheme="minorHAnsi"/>
                <w:sz w:val="22"/>
                <w:szCs w:val="22"/>
              </w:rPr>
            </w:pPr>
            <w:r w:rsidRPr="00342E9E">
              <w:rPr>
                <w:rFonts w:ascii="Calibri" w:hAnsi="Calibri" w:cstheme="minorHAnsi"/>
                <w:sz w:val="22"/>
                <w:szCs w:val="22"/>
              </w:rPr>
              <w:t>Preventive</w:t>
            </w:r>
          </w:p>
        </w:tc>
        <w:tc>
          <w:tcPr>
            <w:tcW w:w="2419" w:type="dxa"/>
            <w:tcBorders>
              <w:top w:val="single" w:sz="12" w:space="0" w:color="auto"/>
            </w:tcBorders>
          </w:tcPr>
          <w:p w14:paraId="77BC28D3" w14:textId="77777777" w:rsidR="00F54322" w:rsidRPr="00342E9E" w:rsidRDefault="00F54322" w:rsidP="001B50CE">
            <w:pPr>
              <w:rPr>
                <w:rFonts w:ascii="Calibri" w:hAnsi="Calibri" w:cstheme="minorHAnsi"/>
                <w:sz w:val="22"/>
                <w:szCs w:val="22"/>
              </w:rPr>
            </w:pPr>
            <w:r w:rsidRPr="00342E9E">
              <w:rPr>
                <w:rFonts w:ascii="Calibri" w:hAnsi="Calibri" w:cstheme="minorHAnsi"/>
                <w:sz w:val="22"/>
                <w:szCs w:val="22"/>
              </w:rPr>
              <w:t>Prevents errors or irregularities from occurring</w:t>
            </w:r>
          </w:p>
        </w:tc>
        <w:tc>
          <w:tcPr>
            <w:tcW w:w="5950" w:type="dxa"/>
            <w:tcBorders>
              <w:top w:val="single" w:sz="12" w:space="0" w:color="auto"/>
            </w:tcBorders>
          </w:tcPr>
          <w:p w14:paraId="08772330"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Segregating staff duties</w:t>
            </w:r>
            <w:r w:rsidR="005E580E" w:rsidRPr="00342E9E">
              <w:rPr>
                <w:rFonts w:ascii="Calibri" w:hAnsi="Calibri" w:cstheme="minorHAnsi"/>
                <w:sz w:val="22"/>
                <w:szCs w:val="22"/>
              </w:rPr>
              <w:t xml:space="preserve"> (DE-16, flowchart)</w:t>
            </w:r>
          </w:p>
          <w:p w14:paraId="5D8D97B7"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Proper authorization</w:t>
            </w:r>
            <w:r w:rsidR="005E580E" w:rsidRPr="00342E9E">
              <w:rPr>
                <w:rFonts w:ascii="Calibri" w:hAnsi="Calibri" w:cstheme="minorHAnsi"/>
                <w:sz w:val="22"/>
                <w:szCs w:val="22"/>
              </w:rPr>
              <w:t xml:space="preserve"> (Authorization memos)</w:t>
            </w:r>
          </w:p>
          <w:p w14:paraId="1C0238ED"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Adequate documentation</w:t>
            </w:r>
            <w:r w:rsidR="005E580E" w:rsidRPr="00342E9E">
              <w:rPr>
                <w:rFonts w:ascii="Calibri" w:hAnsi="Calibri" w:cstheme="minorHAnsi"/>
                <w:sz w:val="22"/>
                <w:szCs w:val="22"/>
              </w:rPr>
              <w:t xml:space="preserve"> (Record)</w:t>
            </w:r>
          </w:p>
          <w:p w14:paraId="1C4E8FBA"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Requiring approvals, authorizations, and verifications</w:t>
            </w:r>
          </w:p>
          <w:p w14:paraId="0CEC8BD2"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Securing assets, such as cash and equipment</w:t>
            </w:r>
          </w:p>
          <w:p w14:paraId="69BCA212"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Maintaining and regularly reviewing inventories and records</w:t>
            </w:r>
            <w:r w:rsidR="005E580E" w:rsidRPr="00342E9E">
              <w:rPr>
                <w:rFonts w:ascii="Calibri" w:hAnsi="Calibri" w:cstheme="minorHAnsi"/>
                <w:sz w:val="22"/>
                <w:szCs w:val="22"/>
              </w:rPr>
              <w:t xml:space="preserve"> (Self-assessments)</w:t>
            </w:r>
          </w:p>
          <w:p w14:paraId="04A281E1" w14:textId="77777777" w:rsidR="00F54322" w:rsidRPr="00342E9E" w:rsidRDefault="00F54322" w:rsidP="001B50CE">
            <w:pPr>
              <w:pStyle w:val="ListParagraph"/>
              <w:ind w:left="251"/>
              <w:rPr>
                <w:rFonts w:ascii="Calibri" w:hAnsi="Calibri" w:cstheme="minorHAnsi"/>
                <w:sz w:val="10"/>
                <w:szCs w:val="10"/>
              </w:rPr>
            </w:pPr>
          </w:p>
        </w:tc>
      </w:tr>
      <w:tr w:rsidR="00F54322" w:rsidRPr="00596C00" w14:paraId="5879376A" w14:textId="77777777" w:rsidTr="005E580E">
        <w:trPr>
          <w:trHeight w:val="2160"/>
        </w:trPr>
        <w:tc>
          <w:tcPr>
            <w:tcW w:w="1631" w:type="dxa"/>
          </w:tcPr>
          <w:p w14:paraId="3D3D59E8" w14:textId="77777777" w:rsidR="00F54322" w:rsidRPr="00342E9E" w:rsidRDefault="00F54322" w:rsidP="001B50CE">
            <w:pPr>
              <w:jc w:val="center"/>
              <w:rPr>
                <w:rFonts w:ascii="Calibri" w:hAnsi="Calibri" w:cstheme="minorHAnsi"/>
                <w:sz w:val="22"/>
                <w:szCs w:val="22"/>
              </w:rPr>
            </w:pPr>
            <w:r w:rsidRPr="00342E9E">
              <w:rPr>
                <w:rFonts w:ascii="Calibri" w:hAnsi="Calibri" w:cstheme="minorHAnsi"/>
                <w:sz w:val="22"/>
                <w:szCs w:val="22"/>
              </w:rPr>
              <w:lastRenderedPageBreak/>
              <w:t>Detective</w:t>
            </w:r>
          </w:p>
        </w:tc>
        <w:tc>
          <w:tcPr>
            <w:tcW w:w="2419" w:type="dxa"/>
          </w:tcPr>
          <w:p w14:paraId="75AEFDE8" w14:textId="77777777" w:rsidR="00F54322" w:rsidRPr="00342E9E" w:rsidRDefault="00F54322" w:rsidP="001B50CE">
            <w:pPr>
              <w:rPr>
                <w:rFonts w:ascii="Calibri" w:hAnsi="Calibri" w:cstheme="minorHAnsi"/>
                <w:sz w:val="22"/>
                <w:szCs w:val="22"/>
              </w:rPr>
            </w:pPr>
            <w:r w:rsidRPr="00342E9E">
              <w:rPr>
                <w:rFonts w:ascii="Calibri" w:hAnsi="Calibri" w:cstheme="minorHAnsi"/>
                <w:sz w:val="22"/>
                <w:szCs w:val="22"/>
              </w:rPr>
              <w:t>Identifies errors or irregularities after they have occurred</w:t>
            </w:r>
          </w:p>
        </w:tc>
        <w:tc>
          <w:tcPr>
            <w:tcW w:w="5950" w:type="dxa"/>
          </w:tcPr>
          <w:p w14:paraId="554FAB4F"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Reviewing performance objectives, forecasts, or other benchmarks to identify unexpected or unusual results</w:t>
            </w:r>
          </w:p>
          <w:p w14:paraId="6C6BE39E"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Variance analysis</w:t>
            </w:r>
            <w:r w:rsidR="005E580E" w:rsidRPr="00342E9E">
              <w:rPr>
                <w:rFonts w:ascii="Calibri" w:hAnsi="Calibri" w:cstheme="minorHAnsi"/>
                <w:sz w:val="22"/>
                <w:szCs w:val="22"/>
              </w:rPr>
              <w:t xml:space="preserve"> (Data analysis)</w:t>
            </w:r>
          </w:p>
          <w:p w14:paraId="02081026"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Reconciling different sets of data to investigate irregularities</w:t>
            </w:r>
          </w:p>
          <w:p w14:paraId="0A603D14"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Conducting physical inventories of assets</w:t>
            </w:r>
          </w:p>
          <w:p w14:paraId="2913CF62"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Audits</w:t>
            </w:r>
            <w:r w:rsidR="00E86516" w:rsidRPr="00342E9E">
              <w:rPr>
                <w:rFonts w:ascii="Calibri" w:hAnsi="Calibri" w:cstheme="minorHAnsi"/>
                <w:sz w:val="22"/>
                <w:szCs w:val="22"/>
              </w:rPr>
              <w:t xml:space="preserve"> and desk monitoring</w:t>
            </w:r>
          </w:p>
          <w:p w14:paraId="7807A606" w14:textId="77777777" w:rsidR="00F54322" w:rsidRPr="00342E9E" w:rsidRDefault="00F54322" w:rsidP="001B50CE">
            <w:pPr>
              <w:pStyle w:val="ListParagraph"/>
              <w:ind w:left="251"/>
              <w:rPr>
                <w:rFonts w:ascii="Calibri" w:hAnsi="Calibri" w:cstheme="minorHAnsi"/>
                <w:sz w:val="10"/>
                <w:szCs w:val="10"/>
              </w:rPr>
            </w:pPr>
          </w:p>
        </w:tc>
      </w:tr>
      <w:tr w:rsidR="00F54322" w:rsidRPr="00596C00" w14:paraId="3C236D21" w14:textId="77777777" w:rsidTr="005E580E">
        <w:trPr>
          <w:trHeight w:val="1170"/>
        </w:trPr>
        <w:tc>
          <w:tcPr>
            <w:tcW w:w="1631" w:type="dxa"/>
            <w:tcBorders>
              <w:bottom w:val="single" w:sz="12" w:space="0" w:color="auto"/>
            </w:tcBorders>
          </w:tcPr>
          <w:p w14:paraId="3D4FD013" w14:textId="77777777" w:rsidR="00F54322" w:rsidRPr="00342E9E" w:rsidRDefault="00F54322" w:rsidP="001B50CE">
            <w:pPr>
              <w:jc w:val="center"/>
              <w:rPr>
                <w:rFonts w:ascii="Calibri" w:hAnsi="Calibri" w:cstheme="minorHAnsi"/>
                <w:sz w:val="22"/>
                <w:szCs w:val="22"/>
              </w:rPr>
            </w:pPr>
            <w:r w:rsidRPr="00342E9E">
              <w:rPr>
                <w:rFonts w:ascii="Calibri" w:hAnsi="Calibri" w:cstheme="minorHAnsi"/>
                <w:sz w:val="22"/>
                <w:szCs w:val="22"/>
              </w:rPr>
              <w:t>Corrective</w:t>
            </w:r>
          </w:p>
        </w:tc>
        <w:tc>
          <w:tcPr>
            <w:tcW w:w="2419" w:type="dxa"/>
            <w:tcBorders>
              <w:bottom w:val="single" w:sz="12" w:space="0" w:color="auto"/>
            </w:tcBorders>
          </w:tcPr>
          <w:p w14:paraId="39EE3854" w14:textId="77777777" w:rsidR="00F54322" w:rsidRPr="00342E9E" w:rsidRDefault="00F54322" w:rsidP="001B50CE">
            <w:pPr>
              <w:rPr>
                <w:rFonts w:ascii="Calibri" w:hAnsi="Calibri" w:cstheme="minorHAnsi"/>
                <w:sz w:val="22"/>
                <w:szCs w:val="22"/>
              </w:rPr>
            </w:pPr>
            <w:r w:rsidRPr="00342E9E">
              <w:rPr>
                <w:rFonts w:ascii="Calibri" w:hAnsi="Calibri" w:cstheme="minorHAnsi"/>
                <w:sz w:val="22"/>
                <w:szCs w:val="22"/>
              </w:rPr>
              <w:t>Identifies ways to react to the risk after the error has occurred.</w:t>
            </w:r>
          </w:p>
        </w:tc>
        <w:tc>
          <w:tcPr>
            <w:tcW w:w="5950" w:type="dxa"/>
            <w:tcBorders>
              <w:bottom w:val="single" w:sz="12" w:space="0" w:color="auto"/>
            </w:tcBorders>
          </w:tcPr>
          <w:p w14:paraId="02F3B6AD"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Monitoring active grant programs to identify noncompliance or weakness in controls</w:t>
            </w:r>
            <w:r w:rsidR="005E580E" w:rsidRPr="00342E9E">
              <w:rPr>
                <w:rFonts w:ascii="Calibri" w:hAnsi="Calibri" w:cstheme="minorHAnsi"/>
                <w:sz w:val="22"/>
                <w:szCs w:val="22"/>
              </w:rPr>
              <w:t xml:space="preserve"> (Monitoring reports)</w:t>
            </w:r>
          </w:p>
          <w:p w14:paraId="5AB3BB40" w14:textId="77777777" w:rsidR="00F54322" w:rsidRPr="00342E9E" w:rsidRDefault="00F54322" w:rsidP="00342E9E">
            <w:pPr>
              <w:pStyle w:val="ListParagraph"/>
              <w:numPr>
                <w:ilvl w:val="0"/>
                <w:numId w:val="3"/>
              </w:numPr>
              <w:ind w:left="251" w:hanging="251"/>
              <w:rPr>
                <w:rFonts w:ascii="Calibri" w:hAnsi="Calibri" w:cstheme="minorHAnsi"/>
                <w:sz w:val="22"/>
                <w:szCs w:val="22"/>
              </w:rPr>
            </w:pPr>
            <w:r w:rsidRPr="00342E9E">
              <w:rPr>
                <w:rFonts w:ascii="Calibri" w:hAnsi="Calibri" w:cstheme="minorHAnsi"/>
                <w:sz w:val="22"/>
                <w:szCs w:val="22"/>
              </w:rPr>
              <w:t>Using automated systems with built-in checks that reject nonconforming or unallowable processes.</w:t>
            </w:r>
          </w:p>
        </w:tc>
      </w:tr>
    </w:tbl>
    <w:p w14:paraId="361E6487" w14:textId="77777777" w:rsidR="00F54322" w:rsidRPr="00596C00" w:rsidRDefault="00F54322" w:rsidP="00F54322">
      <w:pPr>
        <w:pStyle w:val="Default"/>
        <w:spacing w:after="9"/>
        <w:jc w:val="both"/>
        <w:rPr>
          <w:rFonts w:asciiTheme="majorHAnsi" w:hAnsiTheme="majorHAnsi" w:cstheme="majorHAnsi"/>
          <w:color w:val="FF0000"/>
          <w:sz w:val="22"/>
          <w:szCs w:val="22"/>
        </w:rPr>
      </w:pPr>
    </w:p>
    <w:p w14:paraId="47036B34" w14:textId="77777777" w:rsidR="00F54322" w:rsidRPr="00BA6DA2" w:rsidRDefault="00F54322" w:rsidP="00F54322">
      <w:pPr>
        <w:pStyle w:val="Default"/>
        <w:spacing w:after="9"/>
        <w:jc w:val="both"/>
        <w:rPr>
          <w:rFonts w:asciiTheme="majorHAnsi" w:hAnsiTheme="majorHAnsi" w:cstheme="majorHAnsi"/>
          <w:color w:val="auto"/>
        </w:rPr>
      </w:pPr>
      <w:r w:rsidRPr="00BA6DA2">
        <w:rPr>
          <w:rFonts w:asciiTheme="majorHAnsi" w:hAnsiTheme="majorHAnsi" w:cstheme="majorHAnsi"/>
          <w:color w:val="auto"/>
        </w:rPr>
        <w:t>Restart Unit Management will continuously describe their evaluation of those control activities.  The evaluations may change, just as the risks and controls may change over time.  The goal of the description is to convey the most recent actions management took to ensure the control activities associated with each business process are: (1) effectively designed, (2) operating as intended, and (3) effectively mitigating the applicable risks. If the evaluation reveals that the control activities for a particular process do not satisfy one or more of these three conditions, management should describe the severity of the problem and the action steps being under</w:t>
      </w:r>
      <w:r w:rsidR="00034F0A" w:rsidRPr="00BA6DA2">
        <w:rPr>
          <w:rFonts w:asciiTheme="majorHAnsi" w:hAnsiTheme="majorHAnsi" w:cstheme="majorHAnsi"/>
          <w:color w:val="auto"/>
        </w:rPr>
        <w:t>taken to resolve the issue(s).</w:t>
      </w:r>
    </w:p>
    <w:p w14:paraId="693493C3" w14:textId="77777777" w:rsidR="00034F0A" w:rsidRDefault="00034F0A" w:rsidP="00F54322">
      <w:pPr>
        <w:pStyle w:val="Default"/>
        <w:spacing w:after="9"/>
        <w:jc w:val="both"/>
        <w:rPr>
          <w:rFonts w:asciiTheme="majorHAnsi" w:hAnsiTheme="majorHAnsi" w:cstheme="majorHAnsi"/>
          <w:color w:val="FF0000"/>
        </w:rPr>
      </w:pPr>
    </w:p>
    <w:p w14:paraId="211592EF" w14:textId="77777777" w:rsidR="00034F0A" w:rsidRDefault="00034F0A" w:rsidP="00034F0A">
      <w:pPr>
        <w:pStyle w:val="Heading4"/>
      </w:pPr>
      <w:r w:rsidRPr="004A1115">
        <w:rPr>
          <w:i w:val="0"/>
          <w:iCs w:val="0"/>
        </w:rPr>
        <w:t>Financial Information System of the Department of Education, SIFDE</w:t>
      </w:r>
      <w:r w:rsidRPr="006C7902">
        <w:rPr>
          <w:i w:val="0"/>
          <w:iCs w:val="0"/>
        </w:rPr>
        <w:t xml:space="preserve"> controls</w:t>
      </w:r>
      <w:r w:rsidRPr="00056F18">
        <w:t xml:space="preserve"> </w:t>
      </w:r>
    </w:p>
    <w:p w14:paraId="53B28E4D" w14:textId="77777777" w:rsidR="002C0E6B" w:rsidRPr="00056F18" w:rsidRDefault="002C0E6B" w:rsidP="002C0E6B">
      <w:pPr>
        <w:pStyle w:val="Default"/>
        <w:spacing w:after="9"/>
        <w:jc w:val="both"/>
        <w:rPr>
          <w:rFonts w:asciiTheme="majorHAnsi" w:hAnsiTheme="majorHAnsi" w:cstheme="majorHAnsi"/>
          <w:color w:val="000000" w:themeColor="text1"/>
        </w:rPr>
      </w:pPr>
      <w:r w:rsidRPr="00056F18">
        <w:rPr>
          <w:rFonts w:asciiTheme="majorHAnsi" w:hAnsiTheme="majorHAnsi" w:cstheme="majorHAnsi"/>
          <w:color w:val="000000" w:themeColor="text1"/>
        </w:rPr>
        <w:t>As PRDE oversee</w:t>
      </w:r>
      <w:r>
        <w:rPr>
          <w:rFonts w:asciiTheme="majorHAnsi" w:hAnsiTheme="majorHAnsi" w:cstheme="majorHAnsi"/>
          <w:color w:val="000000" w:themeColor="text1"/>
        </w:rPr>
        <w:t>s</w:t>
      </w:r>
      <w:r w:rsidRPr="00056F18">
        <w:rPr>
          <w:rFonts w:asciiTheme="majorHAnsi" w:hAnsiTheme="majorHAnsi" w:cstheme="majorHAnsi"/>
          <w:color w:val="000000" w:themeColor="text1"/>
        </w:rPr>
        <w:t xml:space="preserve"> all aspects of administering the funds to provide the necessary Restart assistance and services required to address all public and private schools’ needs, the funding accountability system that will apply is the same system that is used for other federal funding</w:t>
      </w:r>
      <w:r>
        <w:rPr>
          <w:rStyle w:val="FootnoteReference"/>
          <w:rFonts w:asciiTheme="majorHAnsi" w:hAnsiTheme="majorHAnsi" w:cstheme="majorHAnsi"/>
          <w:color w:val="000000" w:themeColor="text1"/>
        </w:rPr>
        <w:footnoteReference w:id="10"/>
      </w:r>
      <w:r w:rsidRPr="00056F18">
        <w:rPr>
          <w:rFonts w:asciiTheme="majorHAnsi" w:hAnsiTheme="majorHAnsi" w:cstheme="majorHAnsi"/>
          <w:color w:val="000000" w:themeColor="text1"/>
        </w:rPr>
        <w:t xml:space="preserve">. </w:t>
      </w:r>
    </w:p>
    <w:p w14:paraId="0409F1A6" w14:textId="77777777" w:rsidR="002C0E6B" w:rsidRPr="00056F18" w:rsidRDefault="002C0E6B" w:rsidP="002C0E6B">
      <w:pPr>
        <w:pStyle w:val="Default"/>
        <w:spacing w:after="9"/>
        <w:jc w:val="both"/>
        <w:rPr>
          <w:rFonts w:asciiTheme="majorHAnsi" w:hAnsiTheme="majorHAnsi" w:cstheme="majorHAnsi"/>
          <w:color w:val="000000" w:themeColor="text1"/>
        </w:rPr>
      </w:pPr>
    </w:p>
    <w:p w14:paraId="0C882056" w14:textId="77777777" w:rsidR="002C0E6B" w:rsidRPr="00056F18" w:rsidRDefault="002C0E6B" w:rsidP="002C0E6B">
      <w:pPr>
        <w:pStyle w:val="Default"/>
        <w:spacing w:after="9"/>
        <w:jc w:val="both"/>
        <w:rPr>
          <w:rFonts w:asciiTheme="majorHAnsi" w:hAnsiTheme="majorHAnsi" w:cstheme="majorHAnsi"/>
          <w:color w:val="000000" w:themeColor="text1"/>
        </w:rPr>
      </w:pPr>
      <w:r w:rsidRPr="00056F18">
        <w:rPr>
          <w:rFonts w:asciiTheme="majorHAnsi" w:hAnsiTheme="majorHAnsi" w:cstheme="majorHAnsi"/>
          <w:color w:val="000000" w:themeColor="text1"/>
        </w:rPr>
        <w:t xml:space="preserve">Over the years, PRDE has implemented a series of measures to improve the accounting and recordkeeping of cash receipts and disbursements of federal and state funds. Among the measures implemented, PRDE changed its financial system and launched the “Financial Information System of the Department of Education” (SIFDE, for its acronym in Spanish). The Finance Division developed a procedures manual where it specified the critical steps to properly record PRDE’s accounting transactions. </w:t>
      </w:r>
    </w:p>
    <w:p w14:paraId="5D4D2B1A" w14:textId="77777777" w:rsidR="002C0E6B" w:rsidRPr="00056F18" w:rsidRDefault="002C0E6B" w:rsidP="002C0E6B">
      <w:pPr>
        <w:pStyle w:val="Default"/>
        <w:spacing w:after="9"/>
        <w:jc w:val="both"/>
        <w:rPr>
          <w:rFonts w:asciiTheme="majorHAnsi" w:hAnsiTheme="majorHAnsi" w:cstheme="majorHAnsi"/>
          <w:color w:val="000000" w:themeColor="text1"/>
        </w:rPr>
      </w:pPr>
    </w:p>
    <w:p w14:paraId="747B768F" w14:textId="77777777" w:rsidR="002C0E6B" w:rsidRPr="00056F18" w:rsidRDefault="002C0E6B" w:rsidP="002C0E6B">
      <w:pPr>
        <w:pStyle w:val="Default"/>
        <w:spacing w:after="9"/>
        <w:jc w:val="both"/>
        <w:rPr>
          <w:rFonts w:asciiTheme="majorHAnsi" w:hAnsiTheme="majorHAnsi" w:cstheme="majorBidi"/>
          <w:color w:val="000000" w:themeColor="text1"/>
        </w:rPr>
      </w:pPr>
      <w:r w:rsidRPr="00056F18">
        <w:rPr>
          <w:rFonts w:asciiTheme="majorHAnsi" w:hAnsiTheme="majorHAnsi" w:cstheme="majorBidi"/>
          <w:color w:val="000000" w:themeColor="text1"/>
        </w:rPr>
        <w:t xml:space="preserve">SIFDE is designed to maintain an appropriate audit trail of the PRDE accounting transactions and, therefore, is able to comply </w:t>
      </w:r>
      <w:r w:rsidRPr="00BA6DA2">
        <w:rPr>
          <w:rFonts w:asciiTheme="majorHAnsi" w:hAnsiTheme="majorHAnsi" w:cstheme="majorBidi"/>
          <w:color w:val="auto"/>
        </w:rPr>
        <w:t xml:space="preserve">with </w:t>
      </w:r>
      <w:r w:rsidRPr="00BA6DA2">
        <w:rPr>
          <w:rFonts w:asciiTheme="majorHAnsi" w:hAnsiTheme="majorHAnsi" w:cstheme="majorBidi"/>
          <w:b/>
          <w:bCs/>
          <w:color w:val="auto"/>
        </w:rPr>
        <w:t>2 CFR 200.302</w:t>
      </w:r>
      <w:r w:rsidRPr="00BA6DA2">
        <w:rPr>
          <w:rFonts w:asciiTheme="majorHAnsi" w:hAnsiTheme="majorHAnsi" w:cstheme="majorBidi"/>
          <w:color w:val="auto"/>
        </w:rPr>
        <w:t xml:space="preserve"> </w:t>
      </w:r>
      <w:r w:rsidRPr="00056F18">
        <w:rPr>
          <w:rFonts w:asciiTheme="majorHAnsi" w:hAnsiTheme="majorHAnsi" w:cstheme="majorBidi"/>
          <w:color w:val="000000" w:themeColor="text1"/>
        </w:rPr>
        <w:t>which requires a tracing of funds to a level of expenditures adequate to establish that such funds have been used according to federal statutes, regulations, and the terms and conditions of the federal award. The system allows PRDE to track obligations at all levels within the period of availability, (</w:t>
      </w:r>
      <w:proofErr w:type="gramStart"/>
      <w:r w:rsidRPr="00056F18">
        <w:rPr>
          <w:rFonts w:asciiTheme="majorHAnsi" w:hAnsiTheme="majorHAnsi" w:cstheme="majorBidi"/>
          <w:color w:val="000000" w:themeColor="text1"/>
        </w:rPr>
        <w:t>i.e.</w:t>
      </w:r>
      <w:proofErr w:type="gramEnd"/>
      <w:r w:rsidRPr="00056F18">
        <w:rPr>
          <w:rFonts w:asciiTheme="majorHAnsi" w:hAnsiTheme="majorHAnsi" w:cstheme="majorBidi"/>
          <w:color w:val="000000" w:themeColor="text1"/>
        </w:rPr>
        <w:t xml:space="preserve"> community schools, municipalities and regions, and non-public schools). </w:t>
      </w:r>
    </w:p>
    <w:p w14:paraId="3F803E4A" w14:textId="77777777" w:rsidR="002C0E6B" w:rsidRPr="00056F18" w:rsidRDefault="002C0E6B" w:rsidP="002C0E6B">
      <w:pPr>
        <w:pStyle w:val="Default"/>
        <w:spacing w:after="9"/>
        <w:jc w:val="both"/>
        <w:rPr>
          <w:rFonts w:asciiTheme="majorHAnsi" w:hAnsiTheme="majorHAnsi" w:cstheme="majorBidi"/>
          <w:color w:val="000000" w:themeColor="text1"/>
        </w:rPr>
      </w:pPr>
    </w:p>
    <w:p w14:paraId="35E27DEA" w14:textId="77777777" w:rsidR="002C0E6B" w:rsidRPr="00056F18" w:rsidRDefault="002C0E6B" w:rsidP="002C0E6B">
      <w:pPr>
        <w:pStyle w:val="Default"/>
        <w:spacing w:after="9"/>
        <w:jc w:val="both"/>
        <w:rPr>
          <w:rFonts w:asciiTheme="majorHAnsi" w:hAnsiTheme="majorHAnsi" w:cstheme="majorHAnsi"/>
          <w:color w:val="000000" w:themeColor="text1"/>
        </w:rPr>
      </w:pPr>
      <w:r w:rsidRPr="00056F18">
        <w:rPr>
          <w:rFonts w:asciiTheme="majorHAnsi" w:hAnsiTheme="majorHAnsi" w:cstheme="majorHAnsi"/>
          <w:color w:val="000000" w:themeColor="text1"/>
        </w:rPr>
        <w:lastRenderedPageBreak/>
        <w:t>Additionally, the system stores professional services contracts (including amendments, change orders, and purchase orders), invoices uploaded by the vendors, along with their supporting documentation. PRDE has designated a staff member that leads the development of each Restart initiative, this person is responsible of revising the invoice</w:t>
      </w:r>
      <w:r w:rsidR="00DE6ECE">
        <w:rPr>
          <w:rFonts w:asciiTheme="majorHAnsi" w:hAnsiTheme="majorHAnsi" w:cstheme="majorHAnsi"/>
          <w:color w:val="000000" w:themeColor="text1"/>
        </w:rPr>
        <w:t>s</w:t>
      </w:r>
      <w:r w:rsidRPr="00056F18">
        <w:rPr>
          <w:rFonts w:asciiTheme="majorHAnsi" w:hAnsiTheme="majorHAnsi" w:cstheme="majorHAnsi"/>
          <w:color w:val="000000" w:themeColor="text1"/>
        </w:rPr>
        <w:t>, along with the supporting documentation, and then certifies that the service provided is in accordance with the contract or purchase order. Afterwards, the Fiscal Units (ASFA) analyzes the supporting documentation and verifies that said documentation complies with local and federal regulations. Subsequently, the Program coordinator or authorized representative approves the documentation. It is important to note that the system keeps track of the sequence of tasks and procedures regarding payments of obligations.</w:t>
      </w:r>
    </w:p>
    <w:p w14:paraId="4D055C77" w14:textId="77777777" w:rsidR="002C0E6B" w:rsidRPr="00056F18" w:rsidRDefault="002C0E6B" w:rsidP="002C0E6B">
      <w:pPr>
        <w:pStyle w:val="Default"/>
        <w:spacing w:after="9"/>
        <w:jc w:val="both"/>
        <w:rPr>
          <w:rFonts w:asciiTheme="majorHAnsi" w:hAnsiTheme="majorHAnsi" w:cstheme="majorHAnsi"/>
          <w:color w:val="000000" w:themeColor="text1"/>
        </w:rPr>
      </w:pPr>
    </w:p>
    <w:p w14:paraId="61B90EA1" w14:textId="77777777" w:rsidR="002C0E6B" w:rsidRPr="00056F18" w:rsidRDefault="002C0E6B" w:rsidP="002C0E6B">
      <w:pPr>
        <w:pStyle w:val="Default"/>
        <w:spacing w:after="9"/>
        <w:jc w:val="both"/>
        <w:rPr>
          <w:rFonts w:asciiTheme="majorHAnsi" w:hAnsiTheme="majorHAnsi" w:cstheme="majorBidi"/>
          <w:color w:val="000000" w:themeColor="text1"/>
        </w:rPr>
      </w:pPr>
      <w:r w:rsidRPr="00056F18">
        <w:rPr>
          <w:rFonts w:asciiTheme="majorHAnsi" w:hAnsiTheme="majorHAnsi" w:cstheme="majorHAnsi"/>
          <w:color w:val="000000" w:themeColor="text1"/>
        </w:rPr>
        <w:t>SIFDE allows the PRDE to download any kind of financial reports and queries to oversight activities at all levels. Accordingly, ASFA will monitor Restart transactions by reviewing queries of expenditures and spot-checking for any irregularities. Moreover, the SIFDE is also implementing the upload of the physical inventories of equipment located at the public schools. This data is gathered electronically for private schools as well</w:t>
      </w:r>
      <w:r w:rsidRPr="00056F18">
        <w:rPr>
          <w:rFonts w:asciiTheme="majorHAnsi" w:hAnsiTheme="majorHAnsi" w:cstheme="majorBidi"/>
          <w:color w:val="000000" w:themeColor="text1"/>
        </w:rPr>
        <w:t xml:space="preserve">. This </w:t>
      </w:r>
      <w:r>
        <w:rPr>
          <w:rFonts w:asciiTheme="majorHAnsi" w:hAnsiTheme="majorHAnsi" w:cstheme="majorBidi"/>
          <w:color w:val="000000" w:themeColor="text1"/>
        </w:rPr>
        <w:t>feature helps</w:t>
      </w:r>
      <w:r w:rsidRPr="00056F18">
        <w:rPr>
          <w:rFonts w:asciiTheme="majorHAnsi" w:hAnsiTheme="majorHAnsi" w:cstheme="majorBidi"/>
          <w:color w:val="000000" w:themeColor="text1"/>
        </w:rPr>
        <w:t xml:space="preserve"> PRDE track the location of equipment purchased with Restart funds and other information regarding said equipment.</w:t>
      </w:r>
    </w:p>
    <w:p w14:paraId="137328AF" w14:textId="77777777" w:rsidR="002C0E6B" w:rsidRPr="00056F18" w:rsidRDefault="002C0E6B" w:rsidP="002C0E6B">
      <w:pPr>
        <w:pStyle w:val="Default"/>
        <w:spacing w:after="9"/>
        <w:jc w:val="both"/>
        <w:rPr>
          <w:rFonts w:asciiTheme="majorHAnsi" w:hAnsiTheme="majorHAnsi" w:cstheme="majorHAnsi"/>
          <w:color w:val="000000" w:themeColor="text1"/>
        </w:rPr>
      </w:pPr>
    </w:p>
    <w:p w14:paraId="43EC6E28" w14:textId="77777777" w:rsidR="002C0E6B" w:rsidRPr="00056F18" w:rsidRDefault="002C0E6B" w:rsidP="002C0E6B">
      <w:pPr>
        <w:pStyle w:val="Default"/>
        <w:spacing w:after="9"/>
        <w:jc w:val="both"/>
        <w:rPr>
          <w:rFonts w:asciiTheme="majorHAnsi" w:hAnsiTheme="majorHAnsi" w:cstheme="majorBidi"/>
          <w:color w:val="000000" w:themeColor="text1"/>
        </w:rPr>
      </w:pPr>
      <w:r w:rsidRPr="00056F18">
        <w:rPr>
          <w:rFonts w:asciiTheme="majorHAnsi" w:hAnsiTheme="majorHAnsi" w:cstheme="majorBidi"/>
          <w:color w:val="000000" w:themeColor="text1"/>
        </w:rPr>
        <w:t>SIFDE system provides the capacity to budget funds granted from a micro to a macro level (</w:t>
      </w:r>
      <w:proofErr w:type="gramStart"/>
      <w:r w:rsidRPr="00056F18">
        <w:rPr>
          <w:rFonts w:asciiTheme="majorHAnsi" w:hAnsiTheme="majorHAnsi" w:cstheme="majorBidi"/>
          <w:color w:val="000000" w:themeColor="text1"/>
        </w:rPr>
        <w:t>i.e.</w:t>
      </w:r>
      <w:proofErr w:type="gramEnd"/>
      <w:r w:rsidRPr="00056F18">
        <w:rPr>
          <w:rFonts w:asciiTheme="majorHAnsi" w:hAnsiTheme="majorHAnsi" w:cstheme="majorBidi"/>
          <w:color w:val="000000" w:themeColor="text1"/>
        </w:rPr>
        <w:t xml:space="preserve"> state or federal funds). Funds can be budgeted at specific level of expenditure object, school code, vendor number, availability period and spending account for both public and private schools. This type of features from SIFDE allows the Restart Program and/or Area to limit spending strictly to what was approved in the budget of the Work Plans and/or Projects for public and private schools. In addition, SIFDE is designed to improve the management of funds at the school level, specifically, to reduce the time that elapses between disbursement and the request for funds reimbursement to the Federal Government. The SIFDE system allows the accounting staff to perform accounting checks, to validate the data recorded in the system. It also enables PRDE to keep track and supervise the expenses incurred, by spot checking the purchases, among other information that could help us identify areas of risk. </w:t>
      </w:r>
    </w:p>
    <w:p w14:paraId="604AD14A" w14:textId="77777777" w:rsidR="002C0E6B" w:rsidRPr="00056F18" w:rsidRDefault="002C0E6B" w:rsidP="002C0E6B">
      <w:pPr>
        <w:pStyle w:val="Default"/>
        <w:spacing w:after="9"/>
        <w:jc w:val="both"/>
        <w:rPr>
          <w:rFonts w:asciiTheme="majorHAnsi" w:hAnsiTheme="majorHAnsi" w:cstheme="majorBidi"/>
          <w:color w:val="000000" w:themeColor="text1"/>
        </w:rPr>
      </w:pPr>
    </w:p>
    <w:p w14:paraId="314BFF24" w14:textId="77777777" w:rsidR="002C0E6B" w:rsidRPr="00056F18" w:rsidRDefault="002C0E6B" w:rsidP="002C0E6B">
      <w:pPr>
        <w:pStyle w:val="Default"/>
        <w:spacing w:after="9"/>
        <w:jc w:val="both"/>
        <w:rPr>
          <w:rFonts w:asciiTheme="majorHAnsi" w:hAnsiTheme="majorHAnsi" w:cstheme="majorBidi"/>
          <w:color w:val="000000" w:themeColor="text1"/>
        </w:rPr>
      </w:pPr>
      <w:r w:rsidRPr="00056F18">
        <w:rPr>
          <w:rFonts w:asciiTheme="majorHAnsi" w:hAnsiTheme="majorHAnsi" w:cstheme="majorHAnsi"/>
          <w:color w:val="000000" w:themeColor="text1"/>
        </w:rPr>
        <w:t xml:space="preserve">On the other hand, </w:t>
      </w:r>
      <w:r w:rsidRPr="00BA6DA2">
        <w:rPr>
          <w:rFonts w:asciiTheme="majorHAnsi" w:hAnsiTheme="majorHAnsi" w:cstheme="majorHAnsi"/>
          <w:b/>
          <w:bCs/>
          <w:color w:val="auto"/>
        </w:rPr>
        <w:t>PRDE’s Contracts Unit</w:t>
      </w:r>
      <w:r w:rsidRPr="00BA6DA2">
        <w:rPr>
          <w:rFonts w:asciiTheme="majorHAnsi" w:hAnsiTheme="majorHAnsi" w:cstheme="majorHAnsi"/>
          <w:color w:val="auto"/>
        </w:rPr>
        <w:t xml:space="preserve"> </w:t>
      </w:r>
      <w:r w:rsidRPr="00056F18">
        <w:rPr>
          <w:rFonts w:asciiTheme="majorHAnsi" w:hAnsiTheme="majorHAnsi" w:cstheme="majorHAnsi"/>
          <w:color w:val="000000" w:themeColor="text1"/>
        </w:rPr>
        <w:t xml:space="preserve">retains in electronic form key documentation, including documentation from the pre-award process. This Unit collects and retains the following documentation:  Professional Services request forms, the procurement process that was followed and the finalized contracts. Furthermore, we are working on creating a space within PRDE’s cloud to store all essential information and documents related to the implementation of this federal program to have it readily available for any auditor and/or monitor. </w:t>
      </w:r>
    </w:p>
    <w:p w14:paraId="4B87DA33" w14:textId="77777777" w:rsidR="002C0E6B" w:rsidRDefault="002C0E6B" w:rsidP="002C0E6B">
      <w:pPr>
        <w:pStyle w:val="Default"/>
        <w:spacing w:after="9"/>
        <w:jc w:val="both"/>
        <w:rPr>
          <w:rFonts w:asciiTheme="majorHAnsi" w:hAnsiTheme="majorHAnsi" w:cstheme="majorBidi"/>
          <w:color w:val="000000" w:themeColor="text1"/>
        </w:rPr>
      </w:pPr>
    </w:p>
    <w:p w14:paraId="35CAB35D" w14:textId="77777777" w:rsidR="002C0E6B" w:rsidRPr="004A1115" w:rsidRDefault="002C0E6B" w:rsidP="002C0E6B">
      <w:pPr>
        <w:pStyle w:val="Heading4"/>
        <w:rPr>
          <w:i w:val="0"/>
          <w:iCs w:val="0"/>
        </w:rPr>
      </w:pPr>
      <w:r w:rsidRPr="004A1115">
        <w:rPr>
          <w:i w:val="0"/>
          <w:iCs w:val="0"/>
        </w:rPr>
        <w:t>Public schools</w:t>
      </w:r>
    </w:p>
    <w:p w14:paraId="3C4FD2A6" w14:textId="1DBBE435" w:rsidR="002C0E6B" w:rsidRDefault="002C0E6B" w:rsidP="002C0E6B">
      <w:pPr>
        <w:pStyle w:val="Default"/>
        <w:spacing w:after="9"/>
        <w:jc w:val="both"/>
        <w:rPr>
          <w:rFonts w:asciiTheme="majorHAnsi" w:hAnsiTheme="majorHAnsi" w:cstheme="majorBidi"/>
          <w:color w:val="000000" w:themeColor="text1"/>
        </w:rPr>
      </w:pPr>
      <w:r w:rsidRPr="00056F18">
        <w:rPr>
          <w:rFonts w:asciiTheme="majorHAnsi" w:hAnsiTheme="majorHAnsi" w:cstheme="majorBidi"/>
          <w:color w:val="000000" w:themeColor="text1"/>
        </w:rPr>
        <w:t xml:space="preserve">As previously mentioned, </w:t>
      </w:r>
      <w:r w:rsidRPr="00056F18">
        <w:rPr>
          <w:rFonts w:asciiTheme="majorHAnsi" w:hAnsiTheme="majorHAnsi" w:cstheme="majorHAnsi"/>
          <w:color w:val="000000" w:themeColor="text1"/>
        </w:rPr>
        <w:t>for public schools</w:t>
      </w:r>
      <w:r w:rsidRPr="00056F18">
        <w:rPr>
          <w:rFonts w:asciiTheme="majorHAnsi" w:hAnsiTheme="majorHAnsi" w:cstheme="majorBidi"/>
          <w:color w:val="000000" w:themeColor="text1"/>
        </w:rPr>
        <w:t xml:space="preserve">, purchases </w:t>
      </w:r>
      <w:r>
        <w:rPr>
          <w:rFonts w:asciiTheme="majorHAnsi" w:hAnsiTheme="majorHAnsi" w:cstheme="majorBidi"/>
          <w:color w:val="000000" w:themeColor="text1"/>
        </w:rPr>
        <w:t>are</w:t>
      </w:r>
      <w:r w:rsidRPr="00056F18">
        <w:rPr>
          <w:rFonts w:asciiTheme="majorHAnsi" w:hAnsiTheme="majorHAnsi" w:cstheme="majorBidi"/>
          <w:color w:val="000000" w:themeColor="text1"/>
        </w:rPr>
        <w:t xml:space="preserve"> made centrally exc</w:t>
      </w:r>
      <w:r>
        <w:rPr>
          <w:rFonts w:asciiTheme="majorHAnsi" w:hAnsiTheme="majorHAnsi" w:cstheme="majorBidi"/>
          <w:color w:val="000000" w:themeColor="text1"/>
        </w:rPr>
        <w:t>ept for the Restart School Plan, Back2School</w:t>
      </w:r>
      <w:r w:rsidR="006F54AC">
        <w:rPr>
          <w:rFonts w:asciiTheme="majorHAnsi" w:hAnsiTheme="majorHAnsi" w:cstheme="majorBidi"/>
          <w:color w:val="000000" w:themeColor="text1"/>
        </w:rPr>
        <w:t>, Career Technical Education Equipment</w:t>
      </w:r>
      <w:r>
        <w:rPr>
          <w:rFonts w:asciiTheme="majorHAnsi" w:hAnsiTheme="majorHAnsi" w:cstheme="majorBidi"/>
          <w:color w:val="000000" w:themeColor="text1"/>
        </w:rPr>
        <w:t xml:space="preserve"> and Special Education </w:t>
      </w:r>
      <w:r w:rsidR="006C1AD3">
        <w:rPr>
          <w:rFonts w:asciiTheme="majorHAnsi" w:hAnsiTheme="majorHAnsi" w:cstheme="majorBidi"/>
          <w:color w:val="000000" w:themeColor="text1"/>
        </w:rPr>
        <w:t>Equipment and Materials for the Classrooms</w:t>
      </w:r>
      <w:r>
        <w:rPr>
          <w:rFonts w:asciiTheme="majorHAnsi" w:hAnsiTheme="majorHAnsi" w:cstheme="majorBidi"/>
          <w:color w:val="000000" w:themeColor="text1"/>
        </w:rPr>
        <w:t xml:space="preserve"> initiatives</w:t>
      </w:r>
      <w:r w:rsidRPr="00056F18">
        <w:rPr>
          <w:rFonts w:asciiTheme="majorHAnsi" w:hAnsiTheme="majorHAnsi" w:cstheme="majorBidi"/>
          <w:color w:val="000000" w:themeColor="text1"/>
        </w:rPr>
        <w:t xml:space="preserve">. For </w:t>
      </w:r>
      <w:r>
        <w:rPr>
          <w:rFonts w:asciiTheme="majorHAnsi" w:hAnsiTheme="majorHAnsi" w:cstheme="majorBidi"/>
          <w:color w:val="000000" w:themeColor="text1"/>
        </w:rPr>
        <w:t>these initiatives</w:t>
      </w:r>
      <w:r w:rsidRPr="00056F18">
        <w:rPr>
          <w:rFonts w:asciiTheme="majorHAnsi" w:hAnsiTheme="majorHAnsi" w:cstheme="majorBidi"/>
          <w:color w:val="000000" w:themeColor="text1"/>
        </w:rPr>
        <w:t xml:space="preserve">, school principals submit a needs assessment and an assistance application. As part of following the Restart Program, the schools need to demonstrate that the requested goods and/or services are a result of the disaster and justify that it’s an allowable activity. </w:t>
      </w:r>
      <w:r>
        <w:rPr>
          <w:rFonts w:asciiTheme="majorHAnsi" w:hAnsiTheme="majorHAnsi" w:cstheme="majorBidi"/>
          <w:color w:val="000000" w:themeColor="text1"/>
        </w:rPr>
        <w:t xml:space="preserve">ASFA </w:t>
      </w:r>
      <w:r w:rsidRPr="00056F18">
        <w:rPr>
          <w:rFonts w:asciiTheme="majorHAnsi" w:hAnsiTheme="majorHAnsi" w:cstheme="majorBidi"/>
          <w:color w:val="000000" w:themeColor="text1"/>
        </w:rPr>
        <w:t>evaluate</w:t>
      </w:r>
      <w:r>
        <w:rPr>
          <w:rFonts w:asciiTheme="majorHAnsi" w:hAnsiTheme="majorHAnsi" w:cstheme="majorBidi"/>
          <w:color w:val="000000" w:themeColor="text1"/>
        </w:rPr>
        <w:t>s</w:t>
      </w:r>
      <w:r w:rsidRPr="00056F18">
        <w:rPr>
          <w:rFonts w:asciiTheme="majorHAnsi" w:hAnsiTheme="majorHAnsi" w:cstheme="majorBidi"/>
          <w:color w:val="000000" w:themeColor="text1"/>
        </w:rPr>
        <w:t xml:space="preserve"> the needs assessment and assistance application. If necessary, ASFA will reach out to the USDE with any questions or concerns. If the requested items are approved, then:</w:t>
      </w:r>
    </w:p>
    <w:p w14:paraId="5D50F84E" w14:textId="77777777" w:rsidR="002C0E6B" w:rsidRPr="00056F18" w:rsidRDefault="002C0E6B" w:rsidP="002C0E6B">
      <w:pPr>
        <w:pStyle w:val="Default"/>
        <w:spacing w:after="9"/>
        <w:jc w:val="both"/>
        <w:rPr>
          <w:rFonts w:asciiTheme="majorHAnsi" w:hAnsiTheme="majorHAnsi" w:cstheme="majorBidi"/>
          <w:color w:val="000000" w:themeColor="text1"/>
        </w:rPr>
      </w:pPr>
    </w:p>
    <w:p w14:paraId="0652A58D" w14:textId="77777777" w:rsidR="002C0E6B" w:rsidRPr="00BA6DA2" w:rsidRDefault="002C0E6B" w:rsidP="00342E9E">
      <w:pPr>
        <w:pStyle w:val="Default"/>
        <w:numPr>
          <w:ilvl w:val="0"/>
          <w:numId w:val="10"/>
        </w:numPr>
        <w:spacing w:after="9"/>
        <w:jc w:val="both"/>
        <w:rPr>
          <w:rFonts w:asciiTheme="majorHAnsi" w:hAnsiTheme="majorHAnsi" w:cstheme="majorBidi"/>
          <w:color w:val="auto"/>
        </w:rPr>
      </w:pPr>
      <w:r w:rsidRPr="00BA6DA2">
        <w:rPr>
          <w:rFonts w:asciiTheme="majorHAnsi" w:hAnsiTheme="majorHAnsi" w:cstheme="majorBidi"/>
          <w:color w:val="auto"/>
        </w:rPr>
        <w:t>For materials, the regions will make the purchase.</w:t>
      </w:r>
    </w:p>
    <w:p w14:paraId="2BA5C434" w14:textId="77777777" w:rsidR="002C0E6B" w:rsidRPr="00BA6DA2" w:rsidRDefault="002C0E6B" w:rsidP="00342E9E">
      <w:pPr>
        <w:pStyle w:val="Default"/>
        <w:numPr>
          <w:ilvl w:val="0"/>
          <w:numId w:val="10"/>
        </w:numPr>
        <w:spacing w:after="9"/>
        <w:jc w:val="both"/>
        <w:rPr>
          <w:rFonts w:asciiTheme="majorHAnsi" w:hAnsiTheme="majorHAnsi" w:cstheme="majorBidi"/>
          <w:color w:val="auto"/>
        </w:rPr>
      </w:pPr>
      <w:r w:rsidRPr="00BA6DA2">
        <w:rPr>
          <w:rFonts w:asciiTheme="majorHAnsi" w:hAnsiTheme="majorHAnsi" w:cstheme="majorBidi"/>
          <w:color w:val="auto"/>
        </w:rPr>
        <w:t>For equipment and other supplies, the purchase will be made centrally by PRDE’s Central Procurement Unit.</w:t>
      </w:r>
    </w:p>
    <w:p w14:paraId="1164B84A" w14:textId="77777777" w:rsidR="002C0E6B" w:rsidRDefault="002C0E6B" w:rsidP="002C0E6B">
      <w:pPr>
        <w:pStyle w:val="Default"/>
        <w:spacing w:after="9"/>
        <w:jc w:val="both"/>
        <w:rPr>
          <w:rFonts w:asciiTheme="majorHAnsi" w:hAnsiTheme="majorHAnsi" w:cstheme="majorBidi"/>
          <w:color w:val="000000" w:themeColor="text1"/>
        </w:rPr>
      </w:pPr>
    </w:p>
    <w:p w14:paraId="5FFEA79A" w14:textId="77777777" w:rsidR="002C0E6B" w:rsidRPr="006C7902" w:rsidRDefault="002C0E6B" w:rsidP="002C0E6B">
      <w:pPr>
        <w:pStyle w:val="Heading4"/>
        <w:rPr>
          <w:i w:val="0"/>
          <w:iCs w:val="0"/>
        </w:rPr>
      </w:pPr>
      <w:r w:rsidRPr="006C7902">
        <w:rPr>
          <w:i w:val="0"/>
          <w:iCs w:val="0"/>
        </w:rPr>
        <w:t>Nonpublic schools</w:t>
      </w:r>
    </w:p>
    <w:p w14:paraId="4770AC0A" w14:textId="03F0C15F" w:rsidR="002C0E6B" w:rsidRPr="00056F18" w:rsidRDefault="002C0E6B" w:rsidP="002C0E6B">
      <w:pPr>
        <w:pStyle w:val="Default"/>
        <w:spacing w:after="9"/>
        <w:jc w:val="both"/>
        <w:rPr>
          <w:rFonts w:asciiTheme="majorHAnsi" w:hAnsiTheme="majorHAnsi" w:cstheme="majorBidi"/>
          <w:color w:val="000000" w:themeColor="text1"/>
        </w:rPr>
      </w:pPr>
      <w:r w:rsidRPr="00056F18">
        <w:rPr>
          <w:rFonts w:asciiTheme="majorHAnsi" w:hAnsiTheme="majorHAnsi" w:cstheme="majorBidi"/>
          <w:color w:val="000000" w:themeColor="text1"/>
        </w:rPr>
        <w:t>For</w:t>
      </w:r>
      <w:r>
        <w:rPr>
          <w:rFonts w:asciiTheme="majorHAnsi" w:hAnsiTheme="majorHAnsi" w:cstheme="majorBidi"/>
          <w:color w:val="000000" w:themeColor="text1"/>
        </w:rPr>
        <w:t xml:space="preserve"> </w:t>
      </w:r>
      <w:r w:rsidRPr="00056F18">
        <w:rPr>
          <w:rFonts w:asciiTheme="majorHAnsi" w:hAnsiTheme="majorHAnsi" w:cstheme="majorBidi"/>
          <w:color w:val="000000" w:themeColor="text1"/>
        </w:rPr>
        <w:t>private schools, they submit their needs assessment</w:t>
      </w:r>
      <w:r w:rsidR="00646288">
        <w:rPr>
          <w:rFonts w:asciiTheme="majorHAnsi" w:hAnsiTheme="majorHAnsi" w:cstheme="majorBidi"/>
          <w:color w:val="000000" w:themeColor="text1"/>
        </w:rPr>
        <w:t>/application</w:t>
      </w:r>
      <w:r w:rsidRPr="00056F18">
        <w:rPr>
          <w:rFonts w:asciiTheme="majorHAnsi" w:hAnsiTheme="majorHAnsi" w:cstheme="majorBidi"/>
          <w:color w:val="000000" w:themeColor="text1"/>
        </w:rPr>
        <w:t xml:space="preserve">, to the Equitable Services Division (ESD). The ESD </w:t>
      </w:r>
      <w:r w:rsidR="0003096F">
        <w:rPr>
          <w:rFonts w:asciiTheme="majorHAnsi" w:hAnsiTheme="majorHAnsi" w:cstheme="majorBidi"/>
          <w:color w:val="000000" w:themeColor="text1"/>
        </w:rPr>
        <w:t>is</w:t>
      </w:r>
      <w:r w:rsidRPr="00056F18">
        <w:rPr>
          <w:rFonts w:asciiTheme="majorHAnsi" w:hAnsiTheme="majorHAnsi" w:cstheme="majorBidi"/>
          <w:color w:val="000000" w:themeColor="text1"/>
        </w:rPr>
        <w:t xml:space="preserve"> responsible for evaluating the requests and taking a determination on whether to approve it or not. PRDE</w:t>
      </w:r>
      <w:r w:rsidR="00646288">
        <w:rPr>
          <w:rFonts w:asciiTheme="majorHAnsi" w:hAnsiTheme="majorHAnsi" w:cstheme="majorBidi"/>
          <w:color w:val="000000" w:themeColor="text1"/>
        </w:rPr>
        <w:t xml:space="preserve"> has </w:t>
      </w:r>
      <w:r w:rsidRPr="00056F18">
        <w:rPr>
          <w:rFonts w:asciiTheme="majorHAnsi" w:hAnsiTheme="majorHAnsi" w:cstheme="majorBidi"/>
          <w:color w:val="000000" w:themeColor="text1"/>
        </w:rPr>
        <w:t>reach</w:t>
      </w:r>
      <w:r w:rsidR="00646288">
        <w:rPr>
          <w:rFonts w:asciiTheme="majorHAnsi" w:hAnsiTheme="majorHAnsi" w:cstheme="majorBidi"/>
          <w:color w:val="000000" w:themeColor="text1"/>
        </w:rPr>
        <w:t>ed</w:t>
      </w:r>
      <w:r w:rsidRPr="00056F18">
        <w:rPr>
          <w:rFonts w:asciiTheme="majorHAnsi" w:hAnsiTheme="majorHAnsi" w:cstheme="majorBidi"/>
          <w:color w:val="000000" w:themeColor="text1"/>
        </w:rPr>
        <w:t xml:space="preserve"> out to the USDE for technical assistance in order to make sure that the determinations are appropriate. Accordingly, the purchases will be made by the Central Procurement Unit, following all PRDE regulations. </w:t>
      </w:r>
    </w:p>
    <w:p w14:paraId="4884E774" w14:textId="77777777" w:rsidR="002C0E6B" w:rsidRDefault="002C0E6B" w:rsidP="00F54322">
      <w:pPr>
        <w:pStyle w:val="Default"/>
        <w:spacing w:after="9"/>
        <w:jc w:val="both"/>
        <w:rPr>
          <w:rFonts w:asciiTheme="majorHAnsi" w:hAnsiTheme="majorHAnsi" w:cstheme="majorHAnsi"/>
          <w:color w:val="FF0000"/>
        </w:rPr>
      </w:pPr>
    </w:p>
    <w:p w14:paraId="2DB03598" w14:textId="1245A86A" w:rsidR="00F54322" w:rsidRPr="00034F0A" w:rsidRDefault="00D35AEE" w:rsidP="004A1115">
      <w:pPr>
        <w:pStyle w:val="Heading2"/>
      </w:pPr>
      <w:r w:rsidRPr="00034F0A">
        <w:t>I</w:t>
      </w:r>
      <w:r w:rsidR="00972733" w:rsidRPr="00034F0A">
        <w:t>nformation</w:t>
      </w:r>
      <w:r w:rsidRPr="00034F0A">
        <w:t xml:space="preserve"> </w:t>
      </w:r>
      <w:r w:rsidR="00972733" w:rsidRPr="00034F0A">
        <w:t>and</w:t>
      </w:r>
      <w:r w:rsidRPr="00034F0A">
        <w:t xml:space="preserve"> C</w:t>
      </w:r>
      <w:r w:rsidR="00972733" w:rsidRPr="00034F0A">
        <w:t>ommunication</w:t>
      </w:r>
    </w:p>
    <w:p w14:paraId="5C04C3A3" w14:textId="77777777" w:rsidR="00F54322" w:rsidRPr="00C05E4C" w:rsidRDefault="00E86516" w:rsidP="005E580E">
      <w:pPr>
        <w:jc w:val="both"/>
        <w:rPr>
          <w:rFonts w:asciiTheme="majorHAnsi" w:hAnsiTheme="majorHAnsi" w:cstheme="majorHAnsi"/>
        </w:rPr>
      </w:pPr>
      <w:r w:rsidRPr="00C05E4C">
        <w:rPr>
          <w:rFonts w:asciiTheme="majorHAnsi" w:hAnsiTheme="majorHAnsi" w:cstheme="majorHAnsi"/>
        </w:rPr>
        <w:t>For</w:t>
      </w:r>
      <w:r w:rsidR="00F54322" w:rsidRPr="00C05E4C">
        <w:rPr>
          <w:rFonts w:asciiTheme="majorHAnsi" w:hAnsiTheme="majorHAnsi" w:cstheme="majorHAnsi"/>
        </w:rPr>
        <w:t xml:space="preserve"> an internal control system to be successful throughout an organization, the oversight body and management need to ensure that information is communicated effectively to all staff.  Activities for internal control as related to the Information and Communication standard include:</w:t>
      </w:r>
    </w:p>
    <w:p w14:paraId="3DD21FA1" w14:textId="77777777" w:rsidR="00F54322" w:rsidRPr="00C05E4C" w:rsidRDefault="00F54322" w:rsidP="00F54322">
      <w:pPr>
        <w:jc w:val="both"/>
        <w:rPr>
          <w:rFonts w:asciiTheme="majorHAnsi" w:hAnsiTheme="majorHAnsi" w:cstheme="majorHAnsi"/>
        </w:rPr>
      </w:pPr>
    </w:p>
    <w:p w14:paraId="41142E0B" w14:textId="77777777" w:rsidR="00F54322" w:rsidRPr="00C05E4C" w:rsidRDefault="00F54322" w:rsidP="00342E9E">
      <w:pPr>
        <w:pStyle w:val="ListParagraph"/>
        <w:numPr>
          <w:ilvl w:val="0"/>
          <w:numId w:val="8"/>
        </w:numPr>
        <w:ind w:left="360"/>
        <w:jc w:val="both"/>
        <w:rPr>
          <w:rFonts w:asciiTheme="majorHAnsi" w:hAnsiTheme="majorHAnsi" w:cstheme="majorHAnsi"/>
        </w:rPr>
      </w:pPr>
      <w:r w:rsidRPr="00C05E4C">
        <w:rPr>
          <w:rFonts w:asciiTheme="majorHAnsi" w:hAnsiTheme="majorHAnsi" w:cstheme="majorHAnsi"/>
        </w:rPr>
        <w:t xml:space="preserve">seeking and receiving feedback from others on the usefulness of the information provided </w:t>
      </w:r>
      <w:r w:rsidR="00BC0E42" w:rsidRPr="00C05E4C">
        <w:rPr>
          <w:rFonts w:asciiTheme="majorHAnsi" w:hAnsiTheme="majorHAnsi" w:cstheme="majorHAnsi"/>
        </w:rPr>
        <w:t>(Questionnaires)</w:t>
      </w:r>
    </w:p>
    <w:p w14:paraId="3E372B92" w14:textId="77777777" w:rsidR="00F54322" w:rsidRPr="00C05E4C" w:rsidRDefault="00F54322" w:rsidP="00342E9E">
      <w:pPr>
        <w:pStyle w:val="ListParagraph"/>
        <w:numPr>
          <w:ilvl w:val="0"/>
          <w:numId w:val="9"/>
        </w:numPr>
        <w:ind w:left="360"/>
        <w:jc w:val="both"/>
        <w:rPr>
          <w:rFonts w:asciiTheme="majorHAnsi" w:hAnsiTheme="majorHAnsi" w:cstheme="majorHAnsi"/>
        </w:rPr>
      </w:pPr>
      <w:r w:rsidRPr="00C05E4C">
        <w:rPr>
          <w:rFonts w:asciiTheme="majorHAnsi" w:hAnsiTheme="majorHAnsi" w:cstheme="majorHAnsi"/>
        </w:rPr>
        <w:t>making sure that the information reported to others is timely and accurate</w:t>
      </w:r>
      <w:r w:rsidR="00BC0E42" w:rsidRPr="00C05E4C">
        <w:rPr>
          <w:rFonts w:asciiTheme="majorHAnsi" w:hAnsiTheme="majorHAnsi" w:cstheme="majorHAnsi"/>
        </w:rPr>
        <w:t xml:space="preserve"> (Trimestral and semester reports)</w:t>
      </w:r>
      <w:r w:rsidRPr="00C05E4C">
        <w:rPr>
          <w:rFonts w:asciiTheme="majorHAnsi" w:hAnsiTheme="majorHAnsi" w:cstheme="majorHAnsi"/>
        </w:rPr>
        <w:t xml:space="preserve">. </w:t>
      </w:r>
    </w:p>
    <w:p w14:paraId="658F5621" w14:textId="77777777" w:rsidR="00F54322" w:rsidRPr="00C05E4C" w:rsidRDefault="00F54322" w:rsidP="00342E9E">
      <w:pPr>
        <w:pStyle w:val="ListParagraph"/>
        <w:numPr>
          <w:ilvl w:val="0"/>
          <w:numId w:val="9"/>
        </w:numPr>
        <w:ind w:left="360"/>
        <w:jc w:val="both"/>
        <w:rPr>
          <w:rFonts w:asciiTheme="majorHAnsi" w:hAnsiTheme="majorHAnsi" w:cstheme="majorHAnsi"/>
        </w:rPr>
      </w:pPr>
      <w:r w:rsidRPr="00C05E4C">
        <w:rPr>
          <w:rFonts w:asciiTheme="majorHAnsi" w:hAnsiTheme="majorHAnsi" w:cstheme="majorHAnsi"/>
        </w:rPr>
        <w:t>ensuring that updated guidance is received from central oversight agencies, followed by management communicating these new requirements to the operational staff.</w:t>
      </w:r>
      <w:r w:rsidR="00BC0E42" w:rsidRPr="00C05E4C">
        <w:rPr>
          <w:rFonts w:asciiTheme="majorHAnsi" w:hAnsiTheme="majorHAnsi" w:cstheme="majorHAnsi"/>
        </w:rPr>
        <w:t xml:space="preserve"> (USDE-PRDE reports and phone calls.  Previous authorizations for amendments to the Funding Plan)</w:t>
      </w:r>
      <w:r w:rsidRPr="00C05E4C">
        <w:rPr>
          <w:rFonts w:asciiTheme="majorHAnsi" w:hAnsiTheme="majorHAnsi" w:cstheme="majorHAnsi"/>
        </w:rPr>
        <w:t xml:space="preserve"> </w:t>
      </w:r>
    </w:p>
    <w:p w14:paraId="46E824E0" w14:textId="77777777" w:rsidR="00F54322" w:rsidRPr="00C05E4C" w:rsidRDefault="00F54322" w:rsidP="00342E9E">
      <w:pPr>
        <w:pStyle w:val="ListParagraph"/>
        <w:numPr>
          <w:ilvl w:val="0"/>
          <w:numId w:val="9"/>
        </w:numPr>
        <w:ind w:left="360"/>
        <w:jc w:val="both"/>
        <w:rPr>
          <w:rFonts w:asciiTheme="majorHAnsi" w:hAnsiTheme="majorHAnsi" w:cstheme="majorHAnsi"/>
        </w:rPr>
      </w:pPr>
      <w:r w:rsidRPr="00C05E4C">
        <w:rPr>
          <w:rFonts w:asciiTheme="majorHAnsi" w:hAnsiTheme="majorHAnsi" w:cstheme="majorHAnsi"/>
        </w:rPr>
        <w:t>operational staff must communicate with the information systems staff to direct them to extract the necessary data</w:t>
      </w:r>
      <w:r w:rsidR="00BC0E42" w:rsidRPr="00C05E4C">
        <w:rPr>
          <w:rFonts w:asciiTheme="majorHAnsi" w:hAnsiTheme="majorHAnsi" w:cstheme="majorHAnsi"/>
        </w:rPr>
        <w:t xml:space="preserve"> (Previous authorization to retrieve metadata)</w:t>
      </w:r>
      <w:r w:rsidRPr="00C05E4C">
        <w:rPr>
          <w:rFonts w:asciiTheme="majorHAnsi" w:hAnsiTheme="majorHAnsi" w:cstheme="majorHAnsi"/>
        </w:rPr>
        <w:t>.</w:t>
      </w:r>
    </w:p>
    <w:p w14:paraId="52DB8D00" w14:textId="77777777" w:rsidR="00F54322" w:rsidRDefault="00F54322" w:rsidP="00F54322">
      <w:pPr>
        <w:pStyle w:val="Default"/>
        <w:spacing w:after="9"/>
        <w:jc w:val="both"/>
        <w:rPr>
          <w:rFonts w:asciiTheme="majorHAnsi" w:hAnsiTheme="majorHAnsi" w:cstheme="majorHAnsi"/>
          <w:color w:val="FF0000"/>
          <w:sz w:val="22"/>
          <w:szCs w:val="22"/>
        </w:rPr>
      </w:pPr>
    </w:p>
    <w:p w14:paraId="4BBD1ADB" w14:textId="1449FF6F" w:rsidR="00D35AEE" w:rsidRDefault="00D35AEE" w:rsidP="00034F0A">
      <w:pPr>
        <w:pStyle w:val="Heading2"/>
      </w:pPr>
      <w:r>
        <w:t>M</w:t>
      </w:r>
      <w:r w:rsidR="00972733">
        <w:t xml:space="preserve">onitoring </w:t>
      </w:r>
    </w:p>
    <w:p w14:paraId="30BC25F1" w14:textId="77777777" w:rsidR="00F54322" w:rsidRPr="00C05E4C" w:rsidRDefault="00F54322" w:rsidP="005E580E">
      <w:pPr>
        <w:pStyle w:val="Default"/>
        <w:spacing w:after="9"/>
        <w:jc w:val="both"/>
        <w:rPr>
          <w:rFonts w:asciiTheme="majorHAnsi" w:hAnsiTheme="majorHAnsi" w:cstheme="majorHAnsi"/>
          <w:color w:val="auto"/>
        </w:rPr>
      </w:pPr>
      <w:r w:rsidRPr="00C05E4C">
        <w:rPr>
          <w:rFonts w:asciiTheme="majorHAnsi" w:hAnsiTheme="majorHAnsi" w:cstheme="majorHAnsi"/>
          <w:color w:val="auto"/>
        </w:rPr>
        <w:t xml:space="preserve">After implementing internal controls, </w:t>
      </w:r>
      <w:r w:rsidR="005E580E" w:rsidRPr="00C05E4C">
        <w:rPr>
          <w:rFonts w:asciiTheme="majorHAnsi" w:hAnsiTheme="majorHAnsi" w:cstheme="majorHAnsi"/>
          <w:color w:val="auto"/>
        </w:rPr>
        <w:t>PRDE</w:t>
      </w:r>
      <w:r w:rsidRPr="00C05E4C">
        <w:rPr>
          <w:rFonts w:asciiTheme="majorHAnsi" w:hAnsiTheme="majorHAnsi" w:cstheme="majorHAnsi"/>
          <w:color w:val="auto"/>
        </w:rPr>
        <w:t xml:space="preserve"> monitors their effectiveness periodically. Monitoring activities should be comprised of both regular ongoing processes as well as specific separate evaluations in response to deficiencies. Examples of ongoing monitoring of the effectiveness of internal controls </w:t>
      </w:r>
      <w:r w:rsidR="00BC0E42" w:rsidRPr="00C05E4C">
        <w:rPr>
          <w:rFonts w:asciiTheme="majorHAnsi" w:hAnsiTheme="majorHAnsi" w:cstheme="majorHAnsi"/>
          <w:color w:val="auto"/>
        </w:rPr>
        <w:t>include</w:t>
      </w:r>
      <w:r w:rsidRPr="00C05E4C">
        <w:rPr>
          <w:rFonts w:asciiTheme="majorHAnsi" w:hAnsiTheme="majorHAnsi" w:cstheme="majorHAnsi"/>
          <w:color w:val="auto"/>
        </w:rPr>
        <w:t xml:space="preserve"> employee feedback on the effectiveness of controls and follow-up on anonymous reporting hotlines. Ongoing monitoring also includes the periodic review of control activities, self-assessments, and training for program and operation managers on their responsibility for internal control. Examples of separate monitoring of the effectiveness of internal controls include specific external reviews of the design of internal controls used by the organization. </w:t>
      </w:r>
    </w:p>
    <w:p w14:paraId="3D0854FC" w14:textId="77777777" w:rsidR="00F54322" w:rsidRPr="00C05E4C" w:rsidRDefault="00F54322" w:rsidP="00F54322">
      <w:pPr>
        <w:pStyle w:val="Default"/>
        <w:spacing w:after="9"/>
        <w:jc w:val="both"/>
        <w:rPr>
          <w:rFonts w:asciiTheme="majorHAnsi" w:hAnsiTheme="majorHAnsi" w:cstheme="majorHAnsi"/>
          <w:color w:val="auto"/>
        </w:rPr>
      </w:pPr>
    </w:p>
    <w:p w14:paraId="03B11780" w14:textId="77777777" w:rsidR="00F54322" w:rsidRPr="00C05E4C" w:rsidRDefault="00F54322" w:rsidP="00F54322">
      <w:pPr>
        <w:pStyle w:val="Default"/>
        <w:spacing w:after="9"/>
        <w:jc w:val="both"/>
        <w:rPr>
          <w:rFonts w:asciiTheme="majorHAnsi" w:hAnsiTheme="majorHAnsi" w:cstheme="majorHAnsi"/>
          <w:color w:val="auto"/>
        </w:rPr>
      </w:pPr>
      <w:r w:rsidRPr="00C05E4C">
        <w:rPr>
          <w:rFonts w:asciiTheme="majorHAnsi" w:hAnsiTheme="majorHAnsi" w:cstheme="majorHAnsi"/>
          <w:color w:val="auto"/>
        </w:rPr>
        <w:t>The PRDE develop</w:t>
      </w:r>
      <w:r w:rsidR="00126F8C" w:rsidRPr="00C05E4C">
        <w:rPr>
          <w:rFonts w:asciiTheme="majorHAnsi" w:hAnsiTheme="majorHAnsi" w:cstheme="majorHAnsi"/>
          <w:color w:val="auto"/>
        </w:rPr>
        <w:t>ed</w:t>
      </w:r>
      <w:r w:rsidRPr="00C05E4C">
        <w:rPr>
          <w:rFonts w:asciiTheme="majorHAnsi" w:hAnsiTheme="majorHAnsi" w:cstheme="majorHAnsi"/>
          <w:color w:val="auto"/>
        </w:rPr>
        <w:t xml:space="preserve"> additional monitoring instruments or amend the existing ones, in order to validate if the PRDE followed all Procurement and Professional Service Contracts procedures. Additionally, the PRDE </w:t>
      </w:r>
      <w:r w:rsidR="00126F8C" w:rsidRPr="00C05E4C">
        <w:rPr>
          <w:rFonts w:asciiTheme="majorHAnsi" w:hAnsiTheme="majorHAnsi" w:cstheme="majorHAnsi"/>
          <w:color w:val="auto"/>
        </w:rPr>
        <w:t xml:space="preserve">developed </w:t>
      </w:r>
      <w:r w:rsidRPr="00C05E4C">
        <w:rPr>
          <w:rFonts w:asciiTheme="majorHAnsi" w:hAnsiTheme="majorHAnsi" w:cstheme="majorHAnsi"/>
          <w:color w:val="auto"/>
        </w:rPr>
        <w:t xml:space="preserve">an internal guidance to follow up specifically for the Restart program. Orientations </w:t>
      </w:r>
      <w:r w:rsidRPr="00C05E4C">
        <w:rPr>
          <w:rFonts w:asciiTheme="majorHAnsi" w:hAnsiTheme="majorHAnsi" w:cstheme="majorHAnsi"/>
          <w:color w:val="auto"/>
        </w:rPr>
        <w:lastRenderedPageBreak/>
        <w:t>regarding this manual will be provided to PRDE’s staff in order to offer guidance on Restart program requirements and procedures that must be followed to participate.</w:t>
      </w:r>
      <w:r w:rsidRPr="00C05E4C">
        <w:rPr>
          <w:rStyle w:val="FootnoteReference"/>
          <w:rFonts w:asciiTheme="majorHAnsi" w:hAnsiTheme="majorHAnsi" w:cstheme="majorHAnsi"/>
          <w:color w:val="auto"/>
        </w:rPr>
        <w:footnoteReference w:id="11"/>
      </w:r>
      <w:r w:rsidRPr="00C05E4C">
        <w:rPr>
          <w:rFonts w:asciiTheme="majorHAnsi" w:hAnsiTheme="majorHAnsi" w:cstheme="majorHAnsi"/>
          <w:color w:val="auto"/>
        </w:rPr>
        <w:t xml:space="preserve"> </w:t>
      </w:r>
    </w:p>
    <w:p w14:paraId="3BDF35B5" w14:textId="77777777" w:rsidR="00F54322" w:rsidRDefault="00F54322" w:rsidP="00F54322">
      <w:pPr>
        <w:pStyle w:val="Default"/>
        <w:spacing w:after="9"/>
        <w:jc w:val="both"/>
        <w:rPr>
          <w:rFonts w:asciiTheme="majorHAnsi" w:hAnsiTheme="majorHAnsi" w:cstheme="majorHAnsi"/>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740"/>
      </w:tblGrid>
      <w:tr w:rsidR="00F54322" w:rsidRPr="00087D74" w14:paraId="235058D1" w14:textId="77777777" w:rsidTr="001B50CE">
        <w:tc>
          <w:tcPr>
            <w:tcW w:w="2250" w:type="dxa"/>
            <w:tcBorders>
              <w:top w:val="single" w:sz="12" w:space="0" w:color="auto"/>
              <w:bottom w:val="single" w:sz="12" w:space="0" w:color="auto"/>
            </w:tcBorders>
            <w:vAlign w:val="center"/>
          </w:tcPr>
          <w:p w14:paraId="7D1C4109" w14:textId="77777777" w:rsidR="00F54322" w:rsidRPr="00C05E4C" w:rsidRDefault="00F54322" w:rsidP="001B50CE">
            <w:pPr>
              <w:jc w:val="center"/>
              <w:rPr>
                <w:rFonts w:ascii="Calibri" w:hAnsi="Calibri" w:cstheme="minorHAnsi"/>
              </w:rPr>
            </w:pPr>
            <w:r w:rsidRPr="00C05E4C">
              <w:rPr>
                <w:rFonts w:ascii="Calibri" w:hAnsi="Calibri" w:cstheme="minorHAnsi"/>
              </w:rPr>
              <w:t>Types of controls</w:t>
            </w:r>
          </w:p>
        </w:tc>
        <w:tc>
          <w:tcPr>
            <w:tcW w:w="7740" w:type="dxa"/>
            <w:tcBorders>
              <w:top w:val="single" w:sz="12" w:space="0" w:color="auto"/>
              <w:bottom w:val="single" w:sz="12" w:space="0" w:color="auto"/>
            </w:tcBorders>
            <w:vAlign w:val="center"/>
          </w:tcPr>
          <w:p w14:paraId="3FF7DFC5" w14:textId="77777777" w:rsidR="00F54322" w:rsidRPr="00C05E4C" w:rsidRDefault="00F54322" w:rsidP="001B50CE">
            <w:pPr>
              <w:jc w:val="center"/>
              <w:rPr>
                <w:rFonts w:ascii="Calibri" w:hAnsi="Calibri" w:cstheme="minorHAnsi"/>
              </w:rPr>
            </w:pPr>
            <w:r w:rsidRPr="00C05E4C">
              <w:rPr>
                <w:rFonts w:ascii="Calibri" w:hAnsi="Calibri" w:cstheme="minorHAnsi"/>
              </w:rPr>
              <w:t>Activity</w:t>
            </w:r>
          </w:p>
        </w:tc>
      </w:tr>
      <w:tr w:rsidR="00F54322" w:rsidRPr="00087D74" w14:paraId="3D20CE60" w14:textId="77777777" w:rsidTr="001B50CE">
        <w:tc>
          <w:tcPr>
            <w:tcW w:w="2250" w:type="dxa"/>
            <w:tcBorders>
              <w:top w:val="single" w:sz="12" w:space="0" w:color="auto"/>
              <w:bottom w:val="single" w:sz="12" w:space="0" w:color="auto"/>
            </w:tcBorders>
            <w:vAlign w:val="center"/>
          </w:tcPr>
          <w:p w14:paraId="5C6C1201" w14:textId="77777777" w:rsidR="00F54322" w:rsidRPr="00C05E4C" w:rsidRDefault="00F54322" w:rsidP="00A774EE">
            <w:pPr>
              <w:rPr>
                <w:rFonts w:ascii="Calibri" w:hAnsi="Calibri" w:cstheme="minorHAnsi"/>
                <w:sz w:val="22"/>
                <w:szCs w:val="22"/>
              </w:rPr>
            </w:pPr>
            <w:r w:rsidRPr="00C05E4C">
              <w:rPr>
                <w:rFonts w:ascii="Calibri" w:hAnsi="Calibri" w:cstheme="minorHAnsi"/>
                <w:sz w:val="22"/>
                <w:szCs w:val="22"/>
              </w:rPr>
              <w:t>Ongoing monitoring</w:t>
            </w:r>
          </w:p>
        </w:tc>
        <w:tc>
          <w:tcPr>
            <w:tcW w:w="7740" w:type="dxa"/>
            <w:tcBorders>
              <w:top w:val="single" w:sz="12" w:space="0" w:color="auto"/>
              <w:bottom w:val="single" w:sz="12" w:space="0" w:color="auto"/>
            </w:tcBorders>
            <w:vAlign w:val="center"/>
          </w:tcPr>
          <w:p w14:paraId="38FBA687" w14:textId="77777777" w:rsidR="00F54322" w:rsidRPr="00C05E4C" w:rsidRDefault="009239F6" w:rsidP="00342E9E">
            <w:pPr>
              <w:pStyle w:val="ListParagraph"/>
              <w:numPr>
                <w:ilvl w:val="0"/>
                <w:numId w:val="4"/>
              </w:numPr>
              <w:rPr>
                <w:rFonts w:cstheme="minorHAnsi"/>
                <w:sz w:val="22"/>
                <w:szCs w:val="22"/>
              </w:rPr>
            </w:pPr>
            <w:r w:rsidRPr="00C05E4C">
              <w:rPr>
                <w:rFonts w:cstheme="minorHAnsi"/>
                <w:sz w:val="22"/>
                <w:szCs w:val="22"/>
              </w:rPr>
              <w:t>DASHBOARD</w:t>
            </w:r>
            <w:r w:rsidR="00582B6B" w:rsidRPr="00C05E4C">
              <w:rPr>
                <w:rFonts w:cstheme="minorHAnsi"/>
                <w:sz w:val="22"/>
                <w:szCs w:val="22"/>
              </w:rPr>
              <w:t xml:space="preserve"> updates</w:t>
            </w:r>
          </w:p>
          <w:p w14:paraId="29304DAE" w14:textId="77777777" w:rsidR="00F54322" w:rsidRPr="00C05E4C" w:rsidRDefault="00F54322" w:rsidP="00342E9E">
            <w:pPr>
              <w:pStyle w:val="ListParagraph"/>
              <w:numPr>
                <w:ilvl w:val="0"/>
                <w:numId w:val="4"/>
              </w:numPr>
              <w:rPr>
                <w:rFonts w:cstheme="minorHAnsi"/>
                <w:sz w:val="22"/>
                <w:szCs w:val="22"/>
              </w:rPr>
            </w:pPr>
            <w:r w:rsidRPr="00C05E4C">
              <w:rPr>
                <w:rFonts w:cstheme="minorHAnsi"/>
                <w:sz w:val="22"/>
                <w:szCs w:val="22"/>
              </w:rPr>
              <w:t>Regular comparisons and reviews</w:t>
            </w:r>
          </w:p>
        </w:tc>
      </w:tr>
      <w:tr w:rsidR="00F54322" w:rsidRPr="00087D74" w14:paraId="165581B6" w14:textId="77777777" w:rsidTr="001B50CE">
        <w:tc>
          <w:tcPr>
            <w:tcW w:w="2250" w:type="dxa"/>
            <w:tcBorders>
              <w:top w:val="single" w:sz="12" w:space="0" w:color="auto"/>
              <w:bottom w:val="single" w:sz="12" w:space="0" w:color="auto"/>
            </w:tcBorders>
            <w:vAlign w:val="center"/>
          </w:tcPr>
          <w:p w14:paraId="2E99FB43" w14:textId="77777777" w:rsidR="00F54322" w:rsidRPr="00C05E4C" w:rsidRDefault="00F54322" w:rsidP="00A774EE">
            <w:pPr>
              <w:rPr>
                <w:rFonts w:ascii="Calibri" w:hAnsi="Calibri" w:cstheme="minorHAnsi"/>
                <w:sz w:val="22"/>
                <w:szCs w:val="22"/>
              </w:rPr>
            </w:pPr>
            <w:r w:rsidRPr="00C05E4C">
              <w:rPr>
                <w:rFonts w:ascii="Calibri" w:hAnsi="Calibri" w:cstheme="minorHAnsi"/>
                <w:sz w:val="22"/>
                <w:szCs w:val="22"/>
              </w:rPr>
              <w:t>Separate evaluations</w:t>
            </w:r>
          </w:p>
        </w:tc>
        <w:tc>
          <w:tcPr>
            <w:tcW w:w="7740" w:type="dxa"/>
            <w:tcBorders>
              <w:top w:val="single" w:sz="12" w:space="0" w:color="auto"/>
              <w:bottom w:val="single" w:sz="12" w:space="0" w:color="auto"/>
            </w:tcBorders>
            <w:vAlign w:val="center"/>
          </w:tcPr>
          <w:p w14:paraId="644910A1" w14:textId="77777777" w:rsidR="00F54322" w:rsidRPr="00C05E4C" w:rsidRDefault="00F54322" w:rsidP="00342E9E">
            <w:pPr>
              <w:pStyle w:val="ListParagraph"/>
              <w:numPr>
                <w:ilvl w:val="0"/>
                <w:numId w:val="4"/>
              </w:numPr>
              <w:rPr>
                <w:rFonts w:cstheme="minorHAnsi"/>
                <w:sz w:val="22"/>
                <w:szCs w:val="22"/>
              </w:rPr>
            </w:pPr>
            <w:r w:rsidRPr="00C05E4C">
              <w:rPr>
                <w:rFonts w:cstheme="minorHAnsi"/>
                <w:sz w:val="22"/>
                <w:szCs w:val="22"/>
              </w:rPr>
              <w:t>Internal/external audits</w:t>
            </w:r>
          </w:p>
          <w:p w14:paraId="620FE1C7" w14:textId="77777777" w:rsidR="00F54322" w:rsidRPr="00C05E4C" w:rsidRDefault="00F54322" w:rsidP="00342E9E">
            <w:pPr>
              <w:pStyle w:val="ListParagraph"/>
              <w:numPr>
                <w:ilvl w:val="0"/>
                <w:numId w:val="4"/>
              </w:numPr>
              <w:rPr>
                <w:rFonts w:cstheme="minorHAnsi"/>
                <w:sz w:val="22"/>
                <w:szCs w:val="22"/>
              </w:rPr>
            </w:pPr>
            <w:r w:rsidRPr="00C05E4C">
              <w:rPr>
                <w:rFonts w:cstheme="minorHAnsi"/>
                <w:sz w:val="22"/>
                <w:szCs w:val="22"/>
              </w:rPr>
              <w:t>Periodic self-assessment based on risk (control testing and evaluations)</w:t>
            </w:r>
          </w:p>
        </w:tc>
      </w:tr>
      <w:tr w:rsidR="00F54322" w:rsidRPr="00087D74" w14:paraId="78C79BC5" w14:textId="77777777" w:rsidTr="001B50CE">
        <w:tc>
          <w:tcPr>
            <w:tcW w:w="2250" w:type="dxa"/>
            <w:tcBorders>
              <w:top w:val="single" w:sz="12" w:space="0" w:color="auto"/>
              <w:bottom w:val="single" w:sz="12" w:space="0" w:color="auto"/>
            </w:tcBorders>
            <w:vAlign w:val="center"/>
          </w:tcPr>
          <w:p w14:paraId="695DE49A" w14:textId="77777777" w:rsidR="00F54322" w:rsidRPr="00C05E4C" w:rsidRDefault="00F54322" w:rsidP="001B50CE">
            <w:pPr>
              <w:rPr>
                <w:rFonts w:ascii="Calibri" w:hAnsi="Calibri" w:cstheme="minorHAnsi"/>
                <w:sz w:val="22"/>
                <w:szCs w:val="22"/>
              </w:rPr>
            </w:pPr>
            <w:r w:rsidRPr="00C05E4C">
              <w:rPr>
                <w:rFonts w:ascii="Calibri" w:hAnsi="Calibri" w:cstheme="minorHAnsi"/>
                <w:sz w:val="22"/>
                <w:szCs w:val="22"/>
              </w:rPr>
              <w:t>Control deficiency</w:t>
            </w:r>
          </w:p>
        </w:tc>
        <w:tc>
          <w:tcPr>
            <w:tcW w:w="7740" w:type="dxa"/>
            <w:tcBorders>
              <w:top w:val="single" w:sz="12" w:space="0" w:color="auto"/>
              <w:bottom w:val="single" w:sz="12" w:space="0" w:color="auto"/>
            </w:tcBorders>
            <w:vAlign w:val="center"/>
          </w:tcPr>
          <w:p w14:paraId="5217DEB5" w14:textId="77777777" w:rsidR="00F54322" w:rsidRPr="00C05E4C" w:rsidRDefault="00F54322" w:rsidP="00342E9E">
            <w:pPr>
              <w:pStyle w:val="ListParagraph"/>
              <w:numPr>
                <w:ilvl w:val="0"/>
                <w:numId w:val="4"/>
              </w:numPr>
              <w:rPr>
                <w:rFonts w:cstheme="minorHAnsi"/>
                <w:sz w:val="22"/>
                <w:szCs w:val="22"/>
              </w:rPr>
            </w:pPr>
            <w:r w:rsidRPr="00C05E4C">
              <w:rPr>
                <w:rFonts w:cstheme="minorHAnsi"/>
                <w:sz w:val="22"/>
                <w:szCs w:val="22"/>
              </w:rPr>
              <w:t>A potential or actual internal control issue or an opportunity to strength the internal control system</w:t>
            </w:r>
          </w:p>
        </w:tc>
      </w:tr>
      <w:tr w:rsidR="00F54322" w:rsidRPr="00087D74" w14:paraId="28D8FF1A" w14:textId="77777777" w:rsidTr="001B50CE">
        <w:tc>
          <w:tcPr>
            <w:tcW w:w="2250" w:type="dxa"/>
            <w:tcBorders>
              <w:top w:val="single" w:sz="12" w:space="0" w:color="auto"/>
              <w:bottom w:val="single" w:sz="4" w:space="0" w:color="auto"/>
            </w:tcBorders>
          </w:tcPr>
          <w:p w14:paraId="1CAFC27D" w14:textId="77777777" w:rsidR="00F54322" w:rsidRPr="00C05E4C" w:rsidRDefault="00F54322" w:rsidP="00A774EE">
            <w:pPr>
              <w:rPr>
                <w:rFonts w:ascii="Calibri" w:hAnsi="Calibri" w:cstheme="minorHAnsi"/>
                <w:sz w:val="22"/>
                <w:szCs w:val="22"/>
              </w:rPr>
            </w:pPr>
            <w:r w:rsidRPr="00C05E4C">
              <w:rPr>
                <w:rFonts w:ascii="Calibri" w:hAnsi="Calibri" w:cstheme="minorHAnsi"/>
                <w:sz w:val="22"/>
                <w:szCs w:val="22"/>
              </w:rPr>
              <w:t>Corrective action</w:t>
            </w:r>
          </w:p>
        </w:tc>
        <w:tc>
          <w:tcPr>
            <w:tcW w:w="7740" w:type="dxa"/>
            <w:tcBorders>
              <w:top w:val="single" w:sz="12" w:space="0" w:color="auto"/>
              <w:bottom w:val="single" w:sz="4" w:space="0" w:color="auto"/>
            </w:tcBorders>
          </w:tcPr>
          <w:p w14:paraId="1DC4FADF" w14:textId="77777777" w:rsidR="00F54322" w:rsidRPr="00C05E4C" w:rsidRDefault="00F54322" w:rsidP="00342E9E">
            <w:pPr>
              <w:pStyle w:val="Default"/>
              <w:numPr>
                <w:ilvl w:val="0"/>
                <w:numId w:val="4"/>
              </w:numPr>
              <w:spacing w:after="9"/>
              <w:rPr>
                <w:rFonts w:asciiTheme="minorHAnsi" w:hAnsiTheme="minorHAnsi" w:cstheme="minorHAnsi"/>
                <w:color w:val="auto"/>
                <w:sz w:val="22"/>
                <w:szCs w:val="22"/>
              </w:rPr>
            </w:pPr>
            <w:r w:rsidRPr="00C05E4C">
              <w:rPr>
                <w:rFonts w:asciiTheme="minorHAnsi" w:hAnsiTheme="minorHAnsi" w:cstheme="minorHAnsi"/>
                <w:color w:val="auto"/>
                <w:sz w:val="22"/>
                <w:szCs w:val="22"/>
              </w:rPr>
              <w:t>Action item planned by management to remediate identified internal control deficiencies in a specific time frame</w:t>
            </w:r>
          </w:p>
        </w:tc>
      </w:tr>
    </w:tbl>
    <w:p w14:paraId="27BF43DE" w14:textId="77777777" w:rsidR="00F54322" w:rsidRDefault="00F54322" w:rsidP="009F1618">
      <w:pPr>
        <w:pStyle w:val="Default"/>
        <w:spacing w:after="9"/>
        <w:jc w:val="both"/>
        <w:rPr>
          <w:rFonts w:asciiTheme="majorHAnsi" w:hAnsiTheme="majorHAnsi" w:cstheme="majorHAnsi"/>
          <w:b/>
          <w:color w:val="000000" w:themeColor="text1"/>
          <w:sz w:val="22"/>
          <w:szCs w:val="22"/>
        </w:rPr>
      </w:pPr>
    </w:p>
    <w:p w14:paraId="6F9B50B2" w14:textId="77777777" w:rsidR="002C4B42" w:rsidRPr="004A1115" w:rsidRDefault="002C4B42" w:rsidP="0059178F">
      <w:pPr>
        <w:pStyle w:val="Heading4"/>
        <w:rPr>
          <w:i w:val="0"/>
          <w:iCs w:val="0"/>
        </w:rPr>
      </w:pPr>
      <w:r w:rsidRPr="004A1115">
        <w:rPr>
          <w:i w:val="0"/>
          <w:iCs w:val="0"/>
        </w:rPr>
        <w:t>Monitoring Structure &amp; Resources</w:t>
      </w:r>
    </w:p>
    <w:p w14:paraId="3473AD95" w14:textId="77777777" w:rsidR="002C4B42" w:rsidRPr="00056F18" w:rsidRDefault="002C4B42" w:rsidP="002C4B42">
      <w:pPr>
        <w:pStyle w:val="Default"/>
        <w:spacing w:after="9"/>
        <w:jc w:val="both"/>
        <w:rPr>
          <w:rFonts w:asciiTheme="majorHAnsi" w:hAnsiTheme="majorHAnsi" w:cstheme="majorHAnsi"/>
          <w:color w:val="000000" w:themeColor="text1"/>
        </w:rPr>
      </w:pPr>
      <w:r w:rsidRPr="00056F18">
        <w:rPr>
          <w:rFonts w:asciiTheme="majorHAnsi" w:hAnsiTheme="majorHAnsi" w:cstheme="majorHAnsi"/>
          <w:color w:val="000000" w:themeColor="text1"/>
        </w:rPr>
        <w:t>In order to oversee the utilization and physical control of the goods and services procured under the Restart program, PRDE implement</w:t>
      </w:r>
      <w:r>
        <w:rPr>
          <w:rFonts w:asciiTheme="majorHAnsi" w:hAnsiTheme="majorHAnsi" w:cstheme="majorHAnsi"/>
          <w:color w:val="000000" w:themeColor="text1"/>
        </w:rPr>
        <w:t>s</w:t>
      </w:r>
      <w:r w:rsidRPr="00056F18">
        <w:rPr>
          <w:rFonts w:asciiTheme="majorHAnsi" w:hAnsiTheme="majorHAnsi" w:cstheme="majorHAnsi"/>
          <w:color w:val="000000" w:themeColor="text1"/>
        </w:rPr>
        <w:t xml:space="preserve"> a targeted monitoring program. ASFA will have the following key personnel leading the management of the Restart grant: </w:t>
      </w:r>
    </w:p>
    <w:p w14:paraId="54D6FCC7" w14:textId="77777777" w:rsidR="002C4B42" w:rsidRDefault="002C4B42" w:rsidP="002C4B42">
      <w:pPr>
        <w:pStyle w:val="Default"/>
        <w:spacing w:after="9"/>
        <w:ind w:left="360"/>
        <w:jc w:val="both"/>
        <w:rPr>
          <w:rFonts w:asciiTheme="majorHAnsi" w:hAnsiTheme="majorHAnsi" w:cstheme="majorHAnsi"/>
          <w:color w:val="FF0000"/>
        </w:rPr>
      </w:pPr>
    </w:p>
    <w:p w14:paraId="56AC3B5A" w14:textId="77777777" w:rsidR="009E6983" w:rsidRPr="004A1115" w:rsidRDefault="009E6983" w:rsidP="009E6983">
      <w:pPr>
        <w:pStyle w:val="Heading3"/>
        <w:rPr>
          <w:rFonts w:eastAsiaTheme="minorEastAsia"/>
          <w:color w:val="FF0000"/>
        </w:rPr>
      </w:pPr>
      <w:r w:rsidRPr="004A1115">
        <w:rPr>
          <w:rFonts w:eastAsiaTheme="minorEastAsia"/>
          <w:color w:val="auto"/>
        </w:rPr>
        <w:t xml:space="preserve">Individual grant roles and responsibilities: In the following chart we breakdown the program personnel and their main responsibilities. </w:t>
      </w:r>
    </w:p>
    <w:p w14:paraId="286DDC77" w14:textId="77777777" w:rsidR="003B0CC2" w:rsidRPr="003B0CC2" w:rsidRDefault="003B0CC2" w:rsidP="003B0CC2"/>
    <w:tbl>
      <w:tblPr>
        <w:tblStyle w:val="TableGrid"/>
        <w:tblW w:w="10378" w:type="dxa"/>
        <w:tblInd w:w="-5" w:type="dxa"/>
        <w:tblLook w:val="04A0" w:firstRow="1" w:lastRow="0" w:firstColumn="1" w:lastColumn="0" w:noHBand="0" w:noVBand="1"/>
      </w:tblPr>
      <w:tblGrid>
        <w:gridCol w:w="4759"/>
        <w:gridCol w:w="5619"/>
      </w:tblGrid>
      <w:tr w:rsidR="003B0CC2" w:rsidRPr="006623EF" w14:paraId="0FC7FD53" w14:textId="77777777" w:rsidTr="003B0CC2">
        <w:trPr>
          <w:trHeight w:val="276"/>
          <w:tblHeader/>
        </w:trPr>
        <w:tc>
          <w:tcPr>
            <w:tcW w:w="4759" w:type="dxa"/>
            <w:shd w:val="clear" w:color="auto" w:fill="B4C6E7" w:themeFill="accent1" w:themeFillTint="66"/>
            <w:vAlign w:val="center"/>
          </w:tcPr>
          <w:p w14:paraId="19AF82DF" w14:textId="77777777" w:rsidR="003B0CC2" w:rsidRPr="006623EF" w:rsidRDefault="003B0CC2" w:rsidP="009E6983">
            <w:pPr>
              <w:pStyle w:val="ListParagraph"/>
              <w:ind w:left="0"/>
              <w:jc w:val="center"/>
              <w:rPr>
                <w:rFonts w:eastAsiaTheme="minorEastAsia"/>
                <w:b/>
                <w:bCs/>
                <w:sz w:val="22"/>
                <w:szCs w:val="22"/>
              </w:rPr>
            </w:pPr>
            <w:r w:rsidRPr="006623EF">
              <w:rPr>
                <w:rFonts w:eastAsiaTheme="minorEastAsia"/>
                <w:b/>
                <w:bCs/>
                <w:sz w:val="22"/>
                <w:szCs w:val="22"/>
              </w:rPr>
              <w:t>Name</w:t>
            </w:r>
          </w:p>
        </w:tc>
        <w:tc>
          <w:tcPr>
            <w:tcW w:w="5619" w:type="dxa"/>
            <w:shd w:val="clear" w:color="auto" w:fill="B4C6E7" w:themeFill="accent1" w:themeFillTint="66"/>
            <w:vAlign w:val="center"/>
          </w:tcPr>
          <w:p w14:paraId="7D3C5CFB" w14:textId="77777777" w:rsidR="003B0CC2" w:rsidRPr="006623EF" w:rsidRDefault="003B0CC2" w:rsidP="009E6983">
            <w:pPr>
              <w:pStyle w:val="ListParagraph"/>
              <w:ind w:left="0"/>
              <w:jc w:val="center"/>
              <w:rPr>
                <w:rFonts w:eastAsiaTheme="minorEastAsia"/>
                <w:b/>
                <w:bCs/>
                <w:sz w:val="22"/>
                <w:szCs w:val="22"/>
              </w:rPr>
            </w:pPr>
            <w:r w:rsidRPr="006623EF">
              <w:rPr>
                <w:rFonts w:eastAsiaTheme="minorEastAsia"/>
                <w:b/>
                <w:bCs/>
                <w:sz w:val="22"/>
                <w:szCs w:val="22"/>
              </w:rPr>
              <w:t>Position</w:t>
            </w:r>
          </w:p>
        </w:tc>
      </w:tr>
      <w:tr w:rsidR="003B0CC2" w:rsidRPr="006623EF" w14:paraId="169225AC" w14:textId="77777777" w:rsidTr="003B0CC2">
        <w:trPr>
          <w:trHeight w:val="547"/>
        </w:trPr>
        <w:tc>
          <w:tcPr>
            <w:tcW w:w="4759" w:type="dxa"/>
            <w:vAlign w:val="center"/>
          </w:tcPr>
          <w:p w14:paraId="064E219D" w14:textId="74265172" w:rsidR="003B0CC2" w:rsidRPr="00AE1922" w:rsidRDefault="00F55429" w:rsidP="009E6983">
            <w:pPr>
              <w:pStyle w:val="ListParagraph"/>
              <w:ind w:left="0"/>
              <w:jc w:val="center"/>
              <w:rPr>
                <w:rFonts w:eastAsiaTheme="minorEastAsia"/>
                <w:sz w:val="22"/>
                <w:szCs w:val="22"/>
                <w:lang w:val="es-PR"/>
              </w:rPr>
            </w:pPr>
            <w:r>
              <w:rPr>
                <w:rFonts w:eastAsiaTheme="minorEastAsia"/>
                <w:sz w:val="22"/>
                <w:szCs w:val="22"/>
                <w:lang w:val="es-PR"/>
              </w:rPr>
              <w:t>Miguel A. Negrón</w:t>
            </w:r>
          </w:p>
        </w:tc>
        <w:tc>
          <w:tcPr>
            <w:tcW w:w="5619" w:type="dxa"/>
            <w:vAlign w:val="center"/>
          </w:tcPr>
          <w:p w14:paraId="7E6C29F2" w14:textId="77777777" w:rsidR="003B0CC2" w:rsidRPr="006623EF" w:rsidRDefault="003B0CC2" w:rsidP="009E6983">
            <w:pPr>
              <w:pStyle w:val="ListParagraph"/>
              <w:ind w:left="0"/>
              <w:jc w:val="center"/>
              <w:rPr>
                <w:rFonts w:eastAsiaTheme="minorEastAsia"/>
                <w:sz w:val="22"/>
                <w:szCs w:val="22"/>
              </w:rPr>
            </w:pPr>
            <w:r w:rsidRPr="006623EF">
              <w:rPr>
                <w:rFonts w:eastAsiaTheme="minorEastAsia"/>
                <w:sz w:val="22"/>
                <w:szCs w:val="22"/>
              </w:rPr>
              <w:t>Auxiliary Secretary</w:t>
            </w:r>
          </w:p>
        </w:tc>
      </w:tr>
      <w:tr w:rsidR="003B0CC2" w:rsidRPr="006623EF" w14:paraId="10C327FB" w14:textId="77777777" w:rsidTr="003B0CC2">
        <w:trPr>
          <w:trHeight w:val="620"/>
        </w:trPr>
        <w:tc>
          <w:tcPr>
            <w:tcW w:w="4759" w:type="dxa"/>
            <w:vAlign w:val="center"/>
          </w:tcPr>
          <w:p w14:paraId="31588F6C" w14:textId="77777777" w:rsidR="003B0CC2" w:rsidRPr="00F14829" w:rsidRDefault="003B0CC2" w:rsidP="009E6983">
            <w:pPr>
              <w:pStyle w:val="ListParagraph"/>
              <w:ind w:left="0"/>
              <w:jc w:val="center"/>
              <w:rPr>
                <w:rFonts w:eastAsiaTheme="minorEastAsia"/>
                <w:sz w:val="22"/>
                <w:szCs w:val="22"/>
              </w:rPr>
            </w:pPr>
            <w:r w:rsidRPr="00F14829">
              <w:rPr>
                <w:rFonts w:eastAsiaTheme="minorEastAsia"/>
                <w:sz w:val="22"/>
                <w:szCs w:val="22"/>
              </w:rPr>
              <w:t>Edgar Delgado</w:t>
            </w:r>
          </w:p>
        </w:tc>
        <w:tc>
          <w:tcPr>
            <w:tcW w:w="5619" w:type="dxa"/>
            <w:vAlign w:val="center"/>
          </w:tcPr>
          <w:p w14:paraId="2D82DF74" w14:textId="4B361DD9" w:rsidR="003B0CC2" w:rsidRPr="00F14829" w:rsidRDefault="00646288" w:rsidP="009E6983">
            <w:pPr>
              <w:pStyle w:val="ListParagraph"/>
              <w:ind w:left="0"/>
              <w:jc w:val="center"/>
              <w:rPr>
                <w:rFonts w:eastAsiaTheme="minorEastAsia"/>
                <w:sz w:val="22"/>
                <w:szCs w:val="22"/>
              </w:rPr>
            </w:pPr>
            <w:r>
              <w:rPr>
                <w:rFonts w:eastAsiaTheme="minorEastAsia"/>
                <w:sz w:val="22"/>
                <w:szCs w:val="22"/>
              </w:rPr>
              <w:t>Coordinator</w:t>
            </w:r>
          </w:p>
        </w:tc>
      </w:tr>
      <w:tr w:rsidR="00AD04E4" w:rsidRPr="006623EF" w14:paraId="653F13FA" w14:textId="77777777" w:rsidTr="003B0CC2">
        <w:trPr>
          <w:trHeight w:val="620"/>
        </w:trPr>
        <w:tc>
          <w:tcPr>
            <w:tcW w:w="4759" w:type="dxa"/>
            <w:vAlign w:val="center"/>
          </w:tcPr>
          <w:p w14:paraId="125EAFBA" w14:textId="66AF8348" w:rsidR="00AD04E4" w:rsidRPr="00F14829" w:rsidRDefault="00AD04E4" w:rsidP="009E6983">
            <w:pPr>
              <w:pStyle w:val="ListParagraph"/>
              <w:ind w:left="0"/>
              <w:jc w:val="center"/>
              <w:rPr>
                <w:rFonts w:eastAsiaTheme="minorEastAsia"/>
                <w:sz w:val="22"/>
                <w:szCs w:val="22"/>
              </w:rPr>
            </w:pPr>
            <w:r>
              <w:rPr>
                <w:rFonts w:eastAsiaTheme="minorEastAsia"/>
                <w:sz w:val="22"/>
                <w:szCs w:val="22"/>
              </w:rPr>
              <w:t>Vacant</w:t>
            </w:r>
          </w:p>
        </w:tc>
        <w:tc>
          <w:tcPr>
            <w:tcW w:w="5619" w:type="dxa"/>
            <w:vAlign w:val="center"/>
          </w:tcPr>
          <w:p w14:paraId="558833FB" w14:textId="1F0D78BE" w:rsidR="00AD04E4" w:rsidRDefault="00AD04E4" w:rsidP="009E6983">
            <w:pPr>
              <w:pStyle w:val="ListParagraph"/>
              <w:ind w:left="0"/>
              <w:jc w:val="center"/>
              <w:rPr>
                <w:rFonts w:eastAsiaTheme="minorEastAsia"/>
                <w:sz w:val="22"/>
                <w:szCs w:val="22"/>
              </w:rPr>
            </w:pPr>
            <w:r>
              <w:rPr>
                <w:rFonts w:eastAsiaTheme="minorEastAsia"/>
                <w:sz w:val="22"/>
                <w:szCs w:val="22"/>
              </w:rPr>
              <w:t>Program Officer</w:t>
            </w:r>
          </w:p>
        </w:tc>
      </w:tr>
      <w:tr w:rsidR="003B0CC2" w:rsidRPr="006623EF" w14:paraId="6B8E6040" w14:textId="77777777" w:rsidTr="003B0CC2">
        <w:trPr>
          <w:trHeight w:val="620"/>
        </w:trPr>
        <w:tc>
          <w:tcPr>
            <w:tcW w:w="4759" w:type="dxa"/>
            <w:vAlign w:val="center"/>
          </w:tcPr>
          <w:p w14:paraId="29E17C8F" w14:textId="77777777" w:rsidR="003B0CC2" w:rsidRPr="00F14829" w:rsidRDefault="006A773F" w:rsidP="009E6983">
            <w:pPr>
              <w:pStyle w:val="ListParagraph"/>
              <w:ind w:left="0"/>
              <w:jc w:val="center"/>
              <w:rPr>
                <w:rFonts w:eastAsiaTheme="minorEastAsia"/>
                <w:sz w:val="22"/>
                <w:szCs w:val="22"/>
              </w:rPr>
            </w:pPr>
            <w:r>
              <w:rPr>
                <w:rFonts w:eastAsiaTheme="minorEastAsia"/>
                <w:sz w:val="22"/>
                <w:szCs w:val="22"/>
              </w:rPr>
              <w:t>Vacant</w:t>
            </w:r>
          </w:p>
        </w:tc>
        <w:tc>
          <w:tcPr>
            <w:tcW w:w="5619" w:type="dxa"/>
            <w:vAlign w:val="center"/>
          </w:tcPr>
          <w:p w14:paraId="4A745284" w14:textId="77777777" w:rsidR="003B0CC2" w:rsidRPr="00F14829" w:rsidRDefault="003B0CC2" w:rsidP="009E6983">
            <w:pPr>
              <w:pStyle w:val="ListParagraph"/>
              <w:ind w:left="0"/>
              <w:jc w:val="center"/>
              <w:rPr>
                <w:rFonts w:eastAsiaTheme="minorEastAsia"/>
                <w:sz w:val="22"/>
                <w:szCs w:val="22"/>
              </w:rPr>
            </w:pPr>
            <w:r w:rsidRPr="00F14829">
              <w:rPr>
                <w:rFonts w:eastAsiaTheme="minorEastAsia"/>
                <w:sz w:val="22"/>
                <w:szCs w:val="22"/>
              </w:rPr>
              <w:t>Compliance Lead</w:t>
            </w:r>
          </w:p>
        </w:tc>
      </w:tr>
      <w:tr w:rsidR="003B0CC2" w:rsidRPr="006623EF" w14:paraId="1494AF58" w14:textId="77777777" w:rsidTr="003B0CC2">
        <w:trPr>
          <w:trHeight w:val="602"/>
        </w:trPr>
        <w:tc>
          <w:tcPr>
            <w:tcW w:w="4759" w:type="dxa"/>
            <w:vAlign w:val="center"/>
          </w:tcPr>
          <w:p w14:paraId="500F7055" w14:textId="77777777" w:rsidR="003B0CC2" w:rsidRPr="006623EF" w:rsidRDefault="003B0CC2" w:rsidP="009E6983">
            <w:pPr>
              <w:pStyle w:val="ListParagraph"/>
              <w:ind w:left="0"/>
              <w:jc w:val="center"/>
              <w:rPr>
                <w:rFonts w:eastAsiaTheme="minorEastAsia"/>
                <w:sz w:val="22"/>
                <w:szCs w:val="22"/>
              </w:rPr>
            </w:pPr>
            <w:r w:rsidRPr="006623EF">
              <w:rPr>
                <w:rFonts w:eastAsiaTheme="minorEastAsia"/>
                <w:sz w:val="22"/>
                <w:szCs w:val="22"/>
              </w:rPr>
              <w:t>Héctor Díaz</w:t>
            </w:r>
          </w:p>
        </w:tc>
        <w:tc>
          <w:tcPr>
            <w:tcW w:w="5619" w:type="dxa"/>
            <w:vAlign w:val="center"/>
          </w:tcPr>
          <w:p w14:paraId="7B555B18" w14:textId="77777777" w:rsidR="003B0CC2" w:rsidRPr="006623EF" w:rsidRDefault="003B0CC2" w:rsidP="009E6983">
            <w:pPr>
              <w:pStyle w:val="ListParagraph"/>
              <w:ind w:left="0"/>
              <w:jc w:val="center"/>
              <w:rPr>
                <w:rFonts w:eastAsiaTheme="minorEastAsia"/>
                <w:sz w:val="22"/>
                <w:szCs w:val="22"/>
              </w:rPr>
            </w:pPr>
            <w:r w:rsidRPr="006623EF">
              <w:rPr>
                <w:rFonts w:eastAsiaTheme="minorEastAsia"/>
                <w:sz w:val="22"/>
                <w:szCs w:val="22"/>
              </w:rPr>
              <w:t>Fiscal Officer</w:t>
            </w:r>
          </w:p>
        </w:tc>
      </w:tr>
      <w:tr w:rsidR="003B0CC2" w:rsidRPr="006623EF" w14:paraId="7AD8BB10" w14:textId="77777777" w:rsidTr="003B0CC2">
        <w:trPr>
          <w:trHeight w:val="620"/>
        </w:trPr>
        <w:tc>
          <w:tcPr>
            <w:tcW w:w="4759" w:type="dxa"/>
            <w:vAlign w:val="center"/>
          </w:tcPr>
          <w:p w14:paraId="27176DC1" w14:textId="77777777" w:rsidR="003B0CC2" w:rsidRPr="006623EF" w:rsidRDefault="003B0CC2" w:rsidP="009E6983">
            <w:pPr>
              <w:pStyle w:val="ListParagraph"/>
              <w:ind w:left="0"/>
              <w:jc w:val="center"/>
              <w:rPr>
                <w:rFonts w:eastAsiaTheme="minorEastAsia"/>
                <w:sz w:val="22"/>
                <w:szCs w:val="22"/>
              </w:rPr>
            </w:pPr>
            <w:r w:rsidRPr="006623EF">
              <w:rPr>
                <w:rFonts w:eastAsiaTheme="minorEastAsia"/>
                <w:sz w:val="22"/>
                <w:szCs w:val="22"/>
              </w:rPr>
              <w:t>Ana López</w:t>
            </w:r>
          </w:p>
        </w:tc>
        <w:tc>
          <w:tcPr>
            <w:tcW w:w="5619" w:type="dxa"/>
            <w:vAlign w:val="center"/>
          </w:tcPr>
          <w:p w14:paraId="48DA5416" w14:textId="77777777" w:rsidR="003B0CC2" w:rsidRPr="006623EF" w:rsidRDefault="003B0CC2" w:rsidP="009E6983">
            <w:pPr>
              <w:pStyle w:val="ListParagraph"/>
              <w:ind w:left="0"/>
              <w:jc w:val="center"/>
              <w:rPr>
                <w:rFonts w:eastAsiaTheme="minorEastAsia"/>
                <w:sz w:val="22"/>
                <w:szCs w:val="22"/>
              </w:rPr>
            </w:pPr>
            <w:r w:rsidRPr="006623EF">
              <w:rPr>
                <w:rFonts w:eastAsiaTheme="minorEastAsia"/>
                <w:sz w:val="22"/>
                <w:szCs w:val="22"/>
              </w:rPr>
              <w:t>Administrative Assistant III</w:t>
            </w:r>
          </w:p>
        </w:tc>
      </w:tr>
      <w:tr w:rsidR="003B0CC2" w:rsidRPr="006623EF" w14:paraId="6E360365" w14:textId="77777777" w:rsidTr="003B0CC2">
        <w:trPr>
          <w:trHeight w:val="638"/>
        </w:trPr>
        <w:tc>
          <w:tcPr>
            <w:tcW w:w="4759" w:type="dxa"/>
            <w:vAlign w:val="center"/>
          </w:tcPr>
          <w:p w14:paraId="678D444E" w14:textId="77777777" w:rsidR="003B0CC2" w:rsidRPr="006623EF" w:rsidRDefault="006A773F" w:rsidP="009E6983">
            <w:pPr>
              <w:pStyle w:val="ListParagraph"/>
              <w:ind w:left="0"/>
              <w:jc w:val="center"/>
              <w:rPr>
                <w:rFonts w:eastAsiaTheme="minorEastAsia"/>
                <w:sz w:val="22"/>
                <w:szCs w:val="22"/>
              </w:rPr>
            </w:pPr>
            <w:r>
              <w:rPr>
                <w:rFonts w:eastAsiaTheme="minorEastAsia"/>
                <w:sz w:val="22"/>
                <w:szCs w:val="22"/>
              </w:rPr>
              <w:t>Vacant</w:t>
            </w:r>
          </w:p>
        </w:tc>
        <w:tc>
          <w:tcPr>
            <w:tcW w:w="5619" w:type="dxa"/>
            <w:vAlign w:val="center"/>
          </w:tcPr>
          <w:p w14:paraId="318248F7" w14:textId="77777777" w:rsidR="003B0CC2" w:rsidRPr="006623EF" w:rsidRDefault="003B0CC2" w:rsidP="009E6983">
            <w:pPr>
              <w:pStyle w:val="ListParagraph"/>
              <w:ind w:left="0"/>
              <w:jc w:val="center"/>
              <w:rPr>
                <w:rFonts w:eastAsiaTheme="minorEastAsia"/>
                <w:sz w:val="22"/>
                <w:szCs w:val="22"/>
              </w:rPr>
            </w:pPr>
            <w:r w:rsidRPr="006623EF">
              <w:rPr>
                <w:rFonts w:eastAsiaTheme="minorEastAsia"/>
                <w:sz w:val="22"/>
                <w:szCs w:val="22"/>
              </w:rPr>
              <w:t>Administrative Assistant II</w:t>
            </w:r>
          </w:p>
        </w:tc>
      </w:tr>
      <w:tr w:rsidR="00646288" w:rsidRPr="006623EF" w14:paraId="75B3044A" w14:textId="77777777" w:rsidTr="003B0CC2">
        <w:trPr>
          <w:trHeight w:val="638"/>
        </w:trPr>
        <w:tc>
          <w:tcPr>
            <w:tcW w:w="4759" w:type="dxa"/>
            <w:vAlign w:val="center"/>
          </w:tcPr>
          <w:p w14:paraId="42FEC540" w14:textId="12970980" w:rsidR="00646288" w:rsidRDefault="00646288" w:rsidP="009E6983">
            <w:pPr>
              <w:pStyle w:val="ListParagraph"/>
              <w:ind w:left="0"/>
              <w:jc w:val="center"/>
              <w:rPr>
                <w:rFonts w:eastAsiaTheme="minorEastAsia"/>
                <w:sz w:val="22"/>
                <w:szCs w:val="22"/>
              </w:rPr>
            </w:pPr>
            <w:r>
              <w:rPr>
                <w:rFonts w:eastAsiaTheme="minorEastAsia"/>
                <w:sz w:val="22"/>
                <w:szCs w:val="22"/>
              </w:rPr>
              <w:t xml:space="preserve">Denise </w:t>
            </w:r>
            <w:proofErr w:type="spellStart"/>
            <w:r>
              <w:rPr>
                <w:rFonts w:eastAsiaTheme="minorEastAsia"/>
                <w:sz w:val="22"/>
                <w:szCs w:val="22"/>
              </w:rPr>
              <w:t>Mattei</w:t>
            </w:r>
            <w:proofErr w:type="spellEnd"/>
          </w:p>
        </w:tc>
        <w:tc>
          <w:tcPr>
            <w:tcW w:w="5619" w:type="dxa"/>
            <w:vAlign w:val="center"/>
          </w:tcPr>
          <w:p w14:paraId="42E21100" w14:textId="4F181973" w:rsidR="00646288" w:rsidRPr="006623EF" w:rsidRDefault="00646288" w:rsidP="009E6983">
            <w:pPr>
              <w:pStyle w:val="ListParagraph"/>
              <w:ind w:left="0"/>
              <w:jc w:val="center"/>
              <w:rPr>
                <w:rFonts w:eastAsiaTheme="minorEastAsia"/>
                <w:sz w:val="22"/>
                <w:szCs w:val="22"/>
              </w:rPr>
            </w:pPr>
            <w:r>
              <w:rPr>
                <w:rFonts w:eastAsiaTheme="minorEastAsia"/>
                <w:sz w:val="22"/>
                <w:szCs w:val="22"/>
              </w:rPr>
              <w:t>Equitable Services Coordinator</w:t>
            </w:r>
          </w:p>
        </w:tc>
      </w:tr>
    </w:tbl>
    <w:p w14:paraId="292D2777" w14:textId="77777777" w:rsidR="002C4B42" w:rsidRDefault="002C4B42" w:rsidP="002C4B42">
      <w:pPr>
        <w:pStyle w:val="Default"/>
        <w:spacing w:after="9"/>
        <w:ind w:firstLine="360"/>
        <w:jc w:val="both"/>
        <w:rPr>
          <w:rFonts w:asciiTheme="majorHAnsi" w:hAnsiTheme="majorHAnsi" w:cstheme="majorHAnsi"/>
          <w:color w:val="000000" w:themeColor="text1"/>
        </w:rPr>
      </w:pPr>
    </w:p>
    <w:p w14:paraId="444FB7C1" w14:textId="77777777" w:rsidR="002C4B42" w:rsidRPr="00056F18" w:rsidRDefault="002C4B42" w:rsidP="006C724B">
      <w:pPr>
        <w:pStyle w:val="Default"/>
        <w:spacing w:after="9"/>
        <w:jc w:val="both"/>
        <w:rPr>
          <w:rFonts w:asciiTheme="majorHAnsi" w:hAnsiTheme="majorHAnsi" w:cstheme="majorBidi"/>
          <w:color w:val="000000" w:themeColor="text1"/>
        </w:rPr>
      </w:pPr>
      <w:r w:rsidRPr="00056F18">
        <w:rPr>
          <w:rFonts w:asciiTheme="majorHAnsi" w:hAnsiTheme="majorHAnsi" w:cstheme="majorBidi"/>
          <w:color w:val="000000" w:themeColor="text1"/>
        </w:rPr>
        <w:lastRenderedPageBreak/>
        <w:t>It is important to point out that all 837 public schools will be applying for Restart funds through the school plan</w:t>
      </w:r>
      <w:r w:rsidR="006C724B">
        <w:rPr>
          <w:rFonts w:asciiTheme="majorHAnsi" w:hAnsiTheme="majorHAnsi" w:cstheme="majorBidi"/>
          <w:color w:val="000000" w:themeColor="text1"/>
        </w:rPr>
        <w:t xml:space="preserve"> and Back2School Initiative</w:t>
      </w:r>
      <w:r w:rsidRPr="00056F18">
        <w:rPr>
          <w:rFonts w:asciiTheme="majorHAnsi" w:hAnsiTheme="majorHAnsi" w:cstheme="majorBidi"/>
          <w:color w:val="000000" w:themeColor="text1"/>
        </w:rPr>
        <w:t xml:space="preserve"> (this number does not include the 19 schools that have shared students). PRDE, through the PRDE Monitoring Unit of the ASFA, will monitor all schools to oversee the implementation of the school plan and will validate through an independent contractor a representative sample of schools. A monitoring calendar </w:t>
      </w:r>
      <w:r w:rsidR="006C724B">
        <w:rPr>
          <w:rFonts w:asciiTheme="majorHAnsi" w:hAnsiTheme="majorHAnsi" w:cstheme="majorBidi"/>
          <w:color w:val="000000" w:themeColor="text1"/>
        </w:rPr>
        <w:t>was</w:t>
      </w:r>
      <w:r w:rsidRPr="00056F18">
        <w:rPr>
          <w:rFonts w:asciiTheme="majorHAnsi" w:hAnsiTheme="majorHAnsi" w:cstheme="majorBidi"/>
          <w:color w:val="000000" w:themeColor="text1"/>
        </w:rPr>
        <w:t xml:space="preserve"> developed for each region on a quarterly basis to ensure that these schools are receiving the support they need to meet the needs of their students and that they are being good stewards of the federal funding. </w:t>
      </w:r>
    </w:p>
    <w:p w14:paraId="41493171" w14:textId="77777777" w:rsidR="002C4B42" w:rsidRPr="00056F18" w:rsidRDefault="002C4B42" w:rsidP="002C4B42">
      <w:pPr>
        <w:pStyle w:val="Default"/>
        <w:spacing w:after="9"/>
        <w:jc w:val="both"/>
        <w:rPr>
          <w:rFonts w:asciiTheme="majorHAnsi" w:hAnsiTheme="majorHAnsi" w:cstheme="majorBidi"/>
          <w:color w:val="000000" w:themeColor="text1"/>
        </w:rPr>
      </w:pPr>
    </w:p>
    <w:p w14:paraId="2FFA9D16" w14:textId="7A939388" w:rsidR="002C4B42" w:rsidRPr="00056F18" w:rsidRDefault="002C4B42" w:rsidP="002C4B42">
      <w:pPr>
        <w:pStyle w:val="Default"/>
        <w:spacing w:after="9"/>
        <w:jc w:val="both"/>
        <w:rPr>
          <w:rFonts w:asciiTheme="majorHAnsi" w:hAnsiTheme="majorHAnsi" w:cstheme="majorBidi"/>
          <w:color w:val="000000" w:themeColor="text1"/>
        </w:rPr>
      </w:pPr>
      <w:r w:rsidRPr="00056F18">
        <w:rPr>
          <w:rFonts w:asciiTheme="majorHAnsi" w:hAnsiTheme="majorHAnsi" w:cstheme="majorBidi"/>
          <w:color w:val="000000" w:themeColor="text1"/>
        </w:rPr>
        <w:t>As a preliminary monitoring timeline, the PRDE has developed the following schedule</w:t>
      </w:r>
      <w:r w:rsidR="005536B4">
        <w:rPr>
          <w:rFonts w:asciiTheme="majorHAnsi" w:hAnsiTheme="majorHAnsi" w:cstheme="majorBidi"/>
          <w:color w:val="000000" w:themeColor="text1"/>
        </w:rPr>
        <w:t>, that is subject to our possibilities with the COVID19 pandemic challenges</w:t>
      </w:r>
      <w:r w:rsidRPr="00056F18">
        <w:rPr>
          <w:rFonts w:asciiTheme="majorHAnsi" w:hAnsiTheme="majorHAnsi" w:cstheme="majorBidi"/>
          <w:color w:val="000000" w:themeColor="text1"/>
        </w:rPr>
        <w:t>:</w:t>
      </w:r>
    </w:p>
    <w:p w14:paraId="3C691116" w14:textId="77777777" w:rsidR="002C4B42" w:rsidRPr="00CC770D" w:rsidRDefault="002C4B42" w:rsidP="002C4B42">
      <w:pPr>
        <w:pStyle w:val="Default"/>
        <w:spacing w:after="9"/>
        <w:jc w:val="both"/>
        <w:rPr>
          <w:rFonts w:asciiTheme="majorHAnsi" w:hAnsiTheme="majorHAnsi" w:cstheme="majorBidi"/>
          <w:color w:val="000000" w:themeColor="text1"/>
          <w:sz w:val="22"/>
          <w:szCs w:val="22"/>
        </w:rPr>
      </w:pPr>
    </w:p>
    <w:tbl>
      <w:tblPr>
        <w:tblStyle w:val="TableGrid"/>
        <w:tblW w:w="0" w:type="auto"/>
        <w:tblLook w:val="04A0" w:firstRow="1" w:lastRow="0" w:firstColumn="1" w:lastColumn="0" w:noHBand="0" w:noVBand="1"/>
      </w:tblPr>
      <w:tblGrid>
        <w:gridCol w:w="5035"/>
        <w:gridCol w:w="5035"/>
      </w:tblGrid>
      <w:tr w:rsidR="002C4B42" w:rsidRPr="00CC770D" w14:paraId="29082D44" w14:textId="77777777" w:rsidTr="009E6983">
        <w:tc>
          <w:tcPr>
            <w:tcW w:w="10070" w:type="dxa"/>
            <w:gridSpan w:val="2"/>
            <w:vAlign w:val="center"/>
          </w:tcPr>
          <w:p w14:paraId="25C14665" w14:textId="77777777" w:rsidR="002C4B42" w:rsidRPr="00CC770D" w:rsidRDefault="002C4B42" w:rsidP="009E6983">
            <w:pPr>
              <w:pStyle w:val="Default"/>
              <w:spacing w:after="9"/>
              <w:jc w:val="center"/>
              <w:rPr>
                <w:rFonts w:asciiTheme="majorHAnsi" w:hAnsiTheme="majorHAnsi" w:cstheme="majorBidi"/>
                <w:b/>
                <w:color w:val="000000" w:themeColor="text1"/>
                <w:sz w:val="22"/>
                <w:szCs w:val="22"/>
              </w:rPr>
            </w:pPr>
            <w:r w:rsidRPr="00CC770D">
              <w:rPr>
                <w:rFonts w:asciiTheme="majorHAnsi" w:hAnsiTheme="majorHAnsi" w:cstheme="majorBidi"/>
                <w:b/>
                <w:color w:val="000000" w:themeColor="text1"/>
                <w:sz w:val="22"/>
                <w:szCs w:val="22"/>
              </w:rPr>
              <w:t>Preliminary Monitoring Timeline</w:t>
            </w:r>
          </w:p>
          <w:p w14:paraId="02B65C86" w14:textId="77777777" w:rsidR="002C4B42" w:rsidRPr="0059178F" w:rsidRDefault="002C4B42" w:rsidP="009E6983">
            <w:pPr>
              <w:pStyle w:val="Default"/>
              <w:spacing w:after="9"/>
              <w:jc w:val="center"/>
              <w:rPr>
                <w:rFonts w:asciiTheme="majorHAnsi" w:hAnsiTheme="majorHAnsi" w:cstheme="majorBidi"/>
                <w:b/>
                <w:color w:val="000000" w:themeColor="text1"/>
                <w:sz w:val="10"/>
                <w:szCs w:val="10"/>
              </w:rPr>
            </w:pPr>
          </w:p>
        </w:tc>
      </w:tr>
      <w:tr w:rsidR="002C4B42" w:rsidRPr="00CC770D" w14:paraId="3D132606" w14:textId="77777777" w:rsidTr="009E6983">
        <w:tc>
          <w:tcPr>
            <w:tcW w:w="5035" w:type="dxa"/>
            <w:vMerge w:val="restart"/>
            <w:vAlign w:val="center"/>
          </w:tcPr>
          <w:p w14:paraId="39BD401B" w14:textId="360554CF" w:rsidR="002C4B42" w:rsidRPr="00CC770D" w:rsidRDefault="002C4B42" w:rsidP="009E6983">
            <w:pPr>
              <w:pStyle w:val="Default"/>
              <w:spacing w:after="9"/>
              <w:rPr>
                <w:rFonts w:asciiTheme="majorHAnsi" w:hAnsiTheme="majorHAnsi" w:cstheme="majorBidi"/>
                <w:color w:val="000000" w:themeColor="text1"/>
                <w:sz w:val="22"/>
                <w:szCs w:val="22"/>
              </w:rPr>
            </w:pPr>
          </w:p>
        </w:tc>
        <w:tc>
          <w:tcPr>
            <w:tcW w:w="5035" w:type="dxa"/>
          </w:tcPr>
          <w:p w14:paraId="2C511158" w14:textId="05935A33" w:rsidR="002C4B42" w:rsidRPr="00CC770D" w:rsidRDefault="002C4B42" w:rsidP="009E6983">
            <w:pPr>
              <w:pStyle w:val="Default"/>
              <w:spacing w:after="9"/>
              <w:jc w:val="both"/>
              <w:rPr>
                <w:rFonts w:asciiTheme="majorHAnsi" w:hAnsiTheme="majorHAnsi" w:cstheme="majorBidi"/>
                <w:color w:val="000000" w:themeColor="text1"/>
                <w:sz w:val="22"/>
                <w:szCs w:val="22"/>
              </w:rPr>
            </w:pPr>
          </w:p>
        </w:tc>
      </w:tr>
      <w:tr w:rsidR="002C4B42" w:rsidRPr="00CC770D" w14:paraId="0835D83A" w14:textId="77777777" w:rsidTr="009E6983">
        <w:tc>
          <w:tcPr>
            <w:tcW w:w="5035" w:type="dxa"/>
            <w:vMerge/>
            <w:vAlign w:val="center"/>
          </w:tcPr>
          <w:p w14:paraId="22A691D8" w14:textId="77777777" w:rsidR="002C4B42" w:rsidRPr="00CC770D" w:rsidRDefault="002C4B42" w:rsidP="009E6983">
            <w:pPr>
              <w:pStyle w:val="Default"/>
              <w:spacing w:after="9"/>
              <w:rPr>
                <w:rFonts w:asciiTheme="majorHAnsi" w:hAnsiTheme="majorHAnsi" w:cstheme="majorBidi"/>
                <w:color w:val="000000" w:themeColor="text1"/>
                <w:sz w:val="22"/>
                <w:szCs w:val="22"/>
              </w:rPr>
            </w:pPr>
          </w:p>
        </w:tc>
        <w:tc>
          <w:tcPr>
            <w:tcW w:w="5035" w:type="dxa"/>
          </w:tcPr>
          <w:p w14:paraId="6B35C0E4" w14:textId="00F81792" w:rsidR="002C4B42" w:rsidRPr="00CC770D" w:rsidRDefault="002C4B42" w:rsidP="009E6983">
            <w:pPr>
              <w:pStyle w:val="Default"/>
              <w:spacing w:after="9"/>
              <w:jc w:val="both"/>
              <w:rPr>
                <w:rFonts w:asciiTheme="majorHAnsi" w:hAnsiTheme="majorHAnsi" w:cstheme="majorBidi"/>
                <w:color w:val="000000" w:themeColor="text1"/>
                <w:sz w:val="22"/>
                <w:szCs w:val="22"/>
              </w:rPr>
            </w:pPr>
          </w:p>
        </w:tc>
      </w:tr>
      <w:tr w:rsidR="002C4B42" w:rsidRPr="00CC770D" w14:paraId="7A9E6FDC" w14:textId="77777777" w:rsidTr="00BE6E8E">
        <w:trPr>
          <w:trHeight w:val="50"/>
        </w:trPr>
        <w:tc>
          <w:tcPr>
            <w:tcW w:w="5035" w:type="dxa"/>
            <w:vMerge/>
            <w:vAlign w:val="center"/>
          </w:tcPr>
          <w:p w14:paraId="14B4E40B" w14:textId="77777777" w:rsidR="002C4B42" w:rsidRPr="00CC770D" w:rsidRDefault="002C4B42" w:rsidP="009E6983">
            <w:pPr>
              <w:pStyle w:val="Default"/>
              <w:spacing w:after="9"/>
              <w:rPr>
                <w:rFonts w:asciiTheme="majorHAnsi" w:hAnsiTheme="majorHAnsi" w:cstheme="majorBidi"/>
                <w:color w:val="000000" w:themeColor="text1"/>
                <w:sz w:val="22"/>
                <w:szCs w:val="22"/>
              </w:rPr>
            </w:pPr>
          </w:p>
        </w:tc>
        <w:tc>
          <w:tcPr>
            <w:tcW w:w="5035" w:type="dxa"/>
          </w:tcPr>
          <w:p w14:paraId="7A9D2B98" w14:textId="48ACE2A0" w:rsidR="002C4B42" w:rsidRPr="00CC770D" w:rsidRDefault="002C4B42" w:rsidP="009E6983">
            <w:pPr>
              <w:pStyle w:val="Default"/>
              <w:spacing w:after="9"/>
              <w:jc w:val="both"/>
              <w:rPr>
                <w:rFonts w:asciiTheme="majorHAnsi" w:hAnsiTheme="majorHAnsi" w:cstheme="majorBidi"/>
                <w:color w:val="000000" w:themeColor="text1"/>
                <w:sz w:val="22"/>
                <w:szCs w:val="22"/>
              </w:rPr>
            </w:pPr>
          </w:p>
        </w:tc>
      </w:tr>
      <w:tr w:rsidR="002C4B42" w:rsidRPr="00CC770D" w14:paraId="04265F06" w14:textId="77777777" w:rsidTr="009E6983">
        <w:tc>
          <w:tcPr>
            <w:tcW w:w="5035" w:type="dxa"/>
            <w:vMerge w:val="restart"/>
            <w:vAlign w:val="center"/>
          </w:tcPr>
          <w:p w14:paraId="2B363EB0" w14:textId="77777777" w:rsidR="002C4B42" w:rsidRPr="00CC770D" w:rsidRDefault="002C4B42" w:rsidP="009E6983">
            <w:pPr>
              <w:pStyle w:val="Default"/>
              <w:spacing w:after="9"/>
              <w:rPr>
                <w:rFonts w:asciiTheme="majorHAnsi" w:hAnsiTheme="majorHAnsi" w:cstheme="majorBidi"/>
                <w:color w:val="000000" w:themeColor="text1"/>
                <w:sz w:val="22"/>
                <w:szCs w:val="22"/>
              </w:rPr>
            </w:pPr>
            <w:r w:rsidRPr="00CC770D">
              <w:rPr>
                <w:rFonts w:asciiTheme="majorHAnsi" w:hAnsiTheme="majorHAnsi" w:cstheme="majorBidi"/>
                <w:color w:val="000000" w:themeColor="text1"/>
                <w:sz w:val="22"/>
                <w:szCs w:val="22"/>
              </w:rPr>
              <w:t>First Semester 20</w:t>
            </w:r>
            <w:r>
              <w:rPr>
                <w:rFonts w:asciiTheme="majorHAnsi" w:hAnsiTheme="majorHAnsi" w:cstheme="majorBidi"/>
                <w:color w:val="000000" w:themeColor="text1"/>
                <w:sz w:val="22"/>
                <w:szCs w:val="22"/>
              </w:rPr>
              <w:t>20</w:t>
            </w:r>
            <w:r w:rsidRPr="00CC770D">
              <w:rPr>
                <w:rFonts w:asciiTheme="majorHAnsi" w:hAnsiTheme="majorHAnsi" w:cstheme="majorBidi"/>
                <w:color w:val="000000" w:themeColor="text1"/>
                <w:sz w:val="22"/>
                <w:szCs w:val="22"/>
              </w:rPr>
              <w:t>-20</w:t>
            </w:r>
            <w:r>
              <w:rPr>
                <w:rFonts w:asciiTheme="majorHAnsi" w:hAnsiTheme="majorHAnsi" w:cstheme="majorBidi"/>
                <w:color w:val="000000" w:themeColor="text1"/>
                <w:sz w:val="22"/>
                <w:szCs w:val="22"/>
              </w:rPr>
              <w:t>21</w:t>
            </w:r>
            <w:r w:rsidRPr="00CC770D">
              <w:rPr>
                <w:rFonts w:asciiTheme="majorHAnsi" w:hAnsiTheme="majorHAnsi" w:cstheme="majorBidi"/>
                <w:color w:val="000000" w:themeColor="text1"/>
                <w:sz w:val="22"/>
                <w:szCs w:val="22"/>
              </w:rPr>
              <w:t xml:space="preserve"> School Year</w:t>
            </w:r>
          </w:p>
        </w:tc>
        <w:tc>
          <w:tcPr>
            <w:tcW w:w="5035" w:type="dxa"/>
          </w:tcPr>
          <w:p w14:paraId="5B0FB1D7" w14:textId="77777777" w:rsidR="002C4B42" w:rsidRPr="00CC770D" w:rsidRDefault="002C4B42" w:rsidP="009E6983">
            <w:pPr>
              <w:pStyle w:val="Default"/>
              <w:spacing w:after="9"/>
              <w:jc w:val="bot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Caguas</w:t>
            </w:r>
            <w:r w:rsidRPr="00CC770D">
              <w:rPr>
                <w:rFonts w:asciiTheme="majorHAnsi" w:hAnsiTheme="majorHAnsi" w:cstheme="majorBidi"/>
                <w:color w:val="000000" w:themeColor="text1"/>
                <w:sz w:val="22"/>
                <w:szCs w:val="22"/>
              </w:rPr>
              <w:t xml:space="preserve"> Region</w:t>
            </w:r>
          </w:p>
        </w:tc>
      </w:tr>
      <w:tr w:rsidR="002C4B42" w:rsidRPr="00CC770D" w14:paraId="01DC7689" w14:textId="77777777" w:rsidTr="009E6983">
        <w:tc>
          <w:tcPr>
            <w:tcW w:w="5035" w:type="dxa"/>
            <w:vMerge/>
          </w:tcPr>
          <w:p w14:paraId="4F181B75" w14:textId="77777777" w:rsidR="002C4B42" w:rsidRPr="00CC770D" w:rsidRDefault="002C4B42" w:rsidP="009E6983">
            <w:pPr>
              <w:pStyle w:val="Default"/>
              <w:spacing w:after="9"/>
              <w:jc w:val="both"/>
              <w:rPr>
                <w:rFonts w:asciiTheme="majorHAnsi" w:hAnsiTheme="majorHAnsi" w:cstheme="majorBidi"/>
                <w:color w:val="000000" w:themeColor="text1"/>
                <w:sz w:val="22"/>
                <w:szCs w:val="22"/>
              </w:rPr>
            </w:pPr>
          </w:p>
        </w:tc>
        <w:tc>
          <w:tcPr>
            <w:tcW w:w="5035" w:type="dxa"/>
          </w:tcPr>
          <w:p w14:paraId="6AE22CC5" w14:textId="77777777" w:rsidR="002C4B42" w:rsidRPr="00CC770D" w:rsidRDefault="002C4B42" w:rsidP="009E6983">
            <w:pPr>
              <w:pStyle w:val="Default"/>
              <w:spacing w:after="9"/>
              <w:jc w:val="both"/>
              <w:rPr>
                <w:rFonts w:asciiTheme="majorHAnsi" w:hAnsiTheme="majorHAnsi" w:cstheme="majorBidi"/>
                <w:color w:val="000000" w:themeColor="text1"/>
                <w:sz w:val="22"/>
                <w:szCs w:val="22"/>
              </w:rPr>
            </w:pPr>
            <w:r w:rsidRPr="00CC770D">
              <w:rPr>
                <w:rFonts w:asciiTheme="majorHAnsi" w:hAnsiTheme="majorHAnsi" w:cstheme="majorBidi"/>
                <w:color w:val="000000" w:themeColor="text1"/>
                <w:sz w:val="22"/>
                <w:szCs w:val="22"/>
              </w:rPr>
              <w:t>Humacao Region</w:t>
            </w:r>
          </w:p>
        </w:tc>
      </w:tr>
      <w:tr w:rsidR="00075C0F" w:rsidRPr="00CC770D" w14:paraId="55CC2EEC" w14:textId="77777777" w:rsidTr="009E6983">
        <w:tc>
          <w:tcPr>
            <w:tcW w:w="5035" w:type="dxa"/>
            <w:vMerge/>
          </w:tcPr>
          <w:p w14:paraId="01BC07B7" w14:textId="77777777" w:rsidR="00075C0F" w:rsidRPr="00CC770D" w:rsidRDefault="00075C0F" w:rsidP="00075C0F">
            <w:pPr>
              <w:pStyle w:val="Default"/>
              <w:spacing w:after="9"/>
              <w:jc w:val="both"/>
              <w:rPr>
                <w:rFonts w:asciiTheme="majorHAnsi" w:hAnsiTheme="majorHAnsi" w:cstheme="majorBidi"/>
                <w:color w:val="000000" w:themeColor="text1"/>
                <w:sz w:val="22"/>
                <w:szCs w:val="22"/>
              </w:rPr>
            </w:pPr>
          </w:p>
        </w:tc>
        <w:tc>
          <w:tcPr>
            <w:tcW w:w="5035" w:type="dxa"/>
          </w:tcPr>
          <w:p w14:paraId="2580B5D3" w14:textId="2B7F02DF" w:rsidR="00075C0F" w:rsidRPr="00CC770D" w:rsidRDefault="00075C0F" w:rsidP="00075C0F">
            <w:pPr>
              <w:pStyle w:val="Default"/>
              <w:spacing w:after="9"/>
              <w:jc w:val="both"/>
              <w:rPr>
                <w:rFonts w:asciiTheme="majorHAnsi" w:hAnsiTheme="majorHAnsi" w:cstheme="majorBidi"/>
                <w:color w:val="000000" w:themeColor="text1"/>
                <w:sz w:val="22"/>
                <w:szCs w:val="22"/>
              </w:rPr>
            </w:pPr>
            <w:r w:rsidRPr="00CC770D">
              <w:rPr>
                <w:rFonts w:asciiTheme="majorHAnsi" w:hAnsiTheme="majorHAnsi" w:cstheme="majorBidi"/>
                <w:color w:val="000000" w:themeColor="text1"/>
                <w:sz w:val="22"/>
                <w:szCs w:val="22"/>
              </w:rPr>
              <w:t>San Juan Region</w:t>
            </w:r>
          </w:p>
        </w:tc>
      </w:tr>
      <w:tr w:rsidR="00075C0F" w:rsidRPr="00CC770D" w14:paraId="0D04A59B" w14:textId="77777777" w:rsidTr="009E6983">
        <w:tc>
          <w:tcPr>
            <w:tcW w:w="5035" w:type="dxa"/>
            <w:vMerge/>
          </w:tcPr>
          <w:p w14:paraId="1530ECAD" w14:textId="77777777" w:rsidR="00075C0F" w:rsidRPr="00CC770D" w:rsidRDefault="00075C0F" w:rsidP="00075C0F">
            <w:pPr>
              <w:pStyle w:val="Default"/>
              <w:spacing w:after="9"/>
              <w:jc w:val="both"/>
              <w:rPr>
                <w:rFonts w:asciiTheme="majorHAnsi" w:hAnsiTheme="majorHAnsi" w:cstheme="majorBidi"/>
                <w:color w:val="000000" w:themeColor="text1"/>
                <w:sz w:val="22"/>
                <w:szCs w:val="22"/>
              </w:rPr>
            </w:pPr>
          </w:p>
        </w:tc>
        <w:tc>
          <w:tcPr>
            <w:tcW w:w="5035" w:type="dxa"/>
          </w:tcPr>
          <w:p w14:paraId="10F473A1" w14:textId="77777777" w:rsidR="00075C0F" w:rsidRPr="00CC770D" w:rsidRDefault="00075C0F" w:rsidP="00075C0F">
            <w:pPr>
              <w:pStyle w:val="Default"/>
              <w:spacing w:after="9"/>
              <w:jc w:val="both"/>
              <w:rPr>
                <w:rFonts w:asciiTheme="majorHAnsi" w:hAnsiTheme="majorHAnsi" w:cstheme="majorBidi"/>
                <w:color w:val="000000" w:themeColor="text1"/>
                <w:sz w:val="22"/>
                <w:szCs w:val="22"/>
              </w:rPr>
            </w:pPr>
            <w:r w:rsidRPr="00CC770D">
              <w:rPr>
                <w:rFonts w:asciiTheme="majorHAnsi" w:hAnsiTheme="majorHAnsi" w:cstheme="majorBidi"/>
                <w:color w:val="000000" w:themeColor="text1"/>
                <w:sz w:val="22"/>
                <w:szCs w:val="22"/>
              </w:rPr>
              <w:t>Ponce Region</w:t>
            </w:r>
          </w:p>
        </w:tc>
      </w:tr>
    </w:tbl>
    <w:p w14:paraId="0651F50B" w14:textId="77777777" w:rsidR="002C4B42" w:rsidRDefault="002C4B42" w:rsidP="002C4B42">
      <w:pPr>
        <w:pStyle w:val="Default"/>
        <w:spacing w:after="9"/>
        <w:jc w:val="both"/>
        <w:rPr>
          <w:rFonts w:asciiTheme="majorHAnsi" w:hAnsiTheme="majorHAnsi" w:cstheme="majorBidi"/>
          <w:color w:val="000000" w:themeColor="text1"/>
          <w:sz w:val="22"/>
          <w:szCs w:val="22"/>
        </w:rPr>
      </w:pPr>
    </w:p>
    <w:tbl>
      <w:tblPr>
        <w:tblStyle w:val="TableGrid"/>
        <w:tblW w:w="0" w:type="auto"/>
        <w:tblLook w:val="04A0" w:firstRow="1" w:lastRow="0" w:firstColumn="1" w:lastColumn="0" w:noHBand="0" w:noVBand="1"/>
      </w:tblPr>
      <w:tblGrid>
        <w:gridCol w:w="5035"/>
        <w:gridCol w:w="5035"/>
      </w:tblGrid>
      <w:tr w:rsidR="00A65A0B" w:rsidRPr="00A65A0B" w14:paraId="4B07A9BF" w14:textId="77777777" w:rsidTr="009E6983">
        <w:tc>
          <w:tcPr>
            <w:tcW w:w="10070" w:type="dxa"/>
            <w:gridSpan w:val="2"/>
          </w:tcPr>
          <w:p w14:paraId="11325049" w14:textId="77777777" w:rsidR="002C4B42" w:rsidRPr="00A65A0B" w:rsidRDefault="002C4B42" w:rsidP="009E6983">
            <w:pPr>
              <w:pStyle w:val="Default"/>
              <w:spacing w:after="9"/>
              <w:jc w:val="center"/>
              <w:rPr>
                <w:rFonts w:asciiTheme="majorHAnsi" w:hAnsiTheme="majorHAnsi" w:cstheme="majorBidi"/>
                <w:color w:val="auto"/>
                <w:sz w:val="22"/>
                <w:szCs w:val="22"/>
              </w:rPr>
            </w:pPr>
            <w:r w:rsidRPr="00A65A0B">
              <w:rPr>
                <w:rFonts w:asciiTheme="majorHAnsi" w:hAnsiTheme="majorHAnsi" w:cstheme="majorBidi"/>
                <w:color w:val="auto"/>
                <w:sz w:val="22"/>
                <w:szCs w:val="22"/>
              </w:rPr>
              <w:t>Preliminary Initiative Monitoring Timeline</w:t>
            </w:r>
            <w:r w:rsidRPr="00A65A0B">
              <w:rPr>
                <w:rStyle w:val="FootnoteReference"/>
                <w:rFonts w:asciiTheme="majorHAnsi" w:hAnsiTheme="majorHAnsi" w:cstheme="majorBidi"/>
                <w:color w:val="auto"/>
                <w:sz w:val="22"/>
                <w:szCs w:val="22"/>
              </w:rPr>
              <w:footnoteReference w:id="12"/>
            </w:r>
          </w:p>
          <w:p w14:paraId="523EB737" w14:textId="77777777" w:rsidR="002C4B42" w:rsidRPr="00A65A0B" w:rsidRDefault="002C4B42" w:rsidP="009E6983">
            <w:pPr>
              <w:pStyle w:val="Default"/>
              <w:spacing w:after="9"/>
              <w:jc w:val="center"/>
              <w:rPr>
                <w:rFonts w:asciiTheme="majorHAnsi" w:hAnsiTheme="majorHAnsi" w:cstheme="majorBidi"/>
                <w:color w:val="auto"/>
                <w:sz w:val="22"/>
                <w:szCs w:val="22"/>
              </w:rPr>
            </w:pPr>
          </w:p>
        </w:tc>
      </w:tr>
      <w:tr w:rsidR="00A65A0B" w:rsidRPr="00A65A0B" w14:paraId="045507C1" w14:textId="77777777" w:rsidTr="001A75D8">
        <w:tc>
          <w:tcPr>
            <w:tcW w:w="5035" w:type="dxa"/>
            <w:vMerge w:val="restart"/>
          </w:tcPr>
          <w:p w14:paraId="0007EC64" w14:textId="40EAF284" w:rsidR="002C4B42" w:rsidRPr="00A65A0B" w:rsidRDefault="002C4B42" w:rsidP="009E6983">
            <w:pPr>
              <w:pStyle w:val="Default"/>
              <w:spacing w:after="9"/>
              <w:jc w:val="both"/>
              <w:rPr>
                <w:rFonts w:asciiTheme="majorHAnsi" w:hAnsiTheme="majorHAnsi" w:cstheme="majorBidi"/>
                <w:color w:val="auto"/>
                <w:sz w:val="22"/>
                <w:szCs w:val="22"/>
              </w:rPr>
            </w:pPr>
            <w:r w:rsidRPr="00A65A0B">
              <w:rPr>
                <w:rFonts w:asciiTheme="majorHAnsi" w:hAnsiTheme="majorHAnsi" w:cstheme="majorBidi"/>
                <w:color w:val="auto"/>
                <w:sz w:val="22"/>
                <w:szCs w:val="22"/>
              </w:rPr>
              <w:t xml:space="preserve">Second Semester </w:t>
            </w:r>
            <w:r w:rsidR="00075C0F" w:rsidRPr="00A65A0B">
              <w:rPr>
                <w:rFonts w:asciiTheme="majorHAnsi" w:hAnsiTheme="majorHAnsi" w:cstheme="majorBidi"/>
                <w:color w:val="auto"/>
                <w:sz w:val="22"/>
                <w:szCs w:val="22"/>
              </w:rPr>
              <w:t>20</w:t>
            </w:r>
            <w:r w:rsidR="00075C0F">
              <w:rPr>
                <w:rFonts w:asciiTheme="majorHAnsi" w:hAnsiTheme="majorHAnsi" w:cstheme="majorBidi"/>
                <w:color w:val="auto"/>
                <w:sz w:val="22"/>
                <w:szCs w:val="22"/>
              </w:rPr>
              <w:t>20</w:t>
            </w:r>
            <w:r w:rsidR="00075C0F" w:rsidRPr="00A65A0B">
              <w:rPr>
                <w:rFonts w:asciiTheme="majorHAnsi" w:hAnsiTheme="majorHAnsi" w:cstheme="majorBidi"/>
                <w:color w:val="auto"/>
                <w:sz w:val="22"/>
                <w:szCs w:val="22"/>
              </w:rPr>
              <w:t xml:space="preserve"> </w:t>
            </w:r>
            <w:r w:rsidRPr="00A65A0B">
              <w:rPr>
                <w:rFonts w:asciiTheme="majorHAnsi" w:hAnsiTheme="majorHAnsi" w:cstheme="majorBidi"/>
                <w:color w:val="auto"/>
                <w:sz w:val="22"/>
                <w:szCs w:val="22"/>
              </w:rPr>
              <w:t xml:space="preserve">- </w:t>
            </w:r>
            <w:r w:rsidR="00075C0F" w:rsidRPr="00A65A0B">
              <w:rPr>
                <w:rFonts w:asciiTheme="majorHAnsi" w:hAnsiTheme="majorHAnsi" w:cstheme="majorBidi"/>
                <w:color w:val="auto"/>
                <w:sz w:val="22"/>
                <w:szCs w:val="22"/>
              </w:rPr>
              <w:t>20</w:t>
            </w:r>
            <w:r w:rsidR="00075C0F">
              <w:rPr>
                <w:rFonts w:asciiTheme="majorHAnsi" w:hAnsiTheme="majorHAnsi" w:cstheme="majorBidi"/>
                <w:color w:val="auto"/>
                <w:sz w:val="22"/>
                <w:szCs w:val="22"/>
              </w:rPr>
              <w:t>21</w:t>
            </w:r>
          </w:p>
        </w:tc>
        <w:tc>
          <w:tcPr>
            <w:tcW w:w="5035" w:type="dxa"/>
            <w:shd w:val="clear" w:color="auto" w:fill="auto"/>
          </w:tcPr>
          <w:p w14:paraId="4B04704D" w14:textId="77777777" w:rsidR="002C4B42" w:rsidRPr="001A75D8" w:rsidRDefault="002C4B42" w:rsidP="009E6983">
            <w:pPr>
              <w:pStyle w:val="Default"/>
              <w:spacing w:after="9"/>
              <w:jc w:val="both"/>
              <w:rPr>
                <w:rFonts w:asciiTheme="majorHAnsi" w:hAnsiTheme="majorHAnsi" w:cstheme="majorBidi"/>
                <w:color w:val="auto"/>
                <w:sz w:val="22"/>
                <w:szCs w:val="22"/>
              </w:rPr>
            </w:pPr>
            <w:r w:rsidRPr="001A75D8">
              <w:rPr>
                <w:rFonts w:asciiTheme="majorHAnsi" w:hAnsiTheme="majorHAnsi" w:cstheme="majorBidi"/>
                <w:color w:val="auto"/>
                <w:sz w:val="22"/>
                <w:szCs w:val="22"/>
              </w:rPr>
              <w:t>Central Level Initiatives</w:t>
            </w:r>
          </w:p>
        </w:tc>
      </w:tr>
      <w:tr w:rsidR="00A65A0B" w:rsidRPr="00A65A0B" w14:paraId="4AD1F61E" w14:textId="77777777" w:rsidTr="001A75D8">
        <w:tc>
          <w:tcPr>
            <w:tcW w:w="5035" w:type="dxa"/>
            <w:vMerge/>
          </w:tcPr>
          <w:p w14:paraId="4D1726B1" w14:textId="77777777" w:rsidR="002C4B42" w:rsidRPr="00A65A0B" w:rsidRDefault="002C4B42" w:rsidP="009E6983">
            <w:pPr>
              <w:pStyle w:val="Default"/>
              <w:spacing w:after="9"/>
              <w:jc w:val="both"/>
              <w:rPr>
                <w:rFonts w:asciiTheme="majorHAnsi" w:hAnsiTheme="majorHAnsi" w:cstheme="majorBidi"/>
                <w:color w:val="auto"/>
                <w:sz w:val="22"/>
                <w:szCs w:val="22"/>
              </w:rPr>
            </w:pPr>
          </w:p>
        </w:tc>
        <w:tc>
          <w:tcPr>
            <w:tcW w:w="5035" w:type="dxa"/>
            <w:shd w:val="clear" w:color="auto" w:fill="auto"/>
          </w:tcPr>
          <w:p w14:paraId="0C343B41" w14:textId="77777777" w:rsidR="002C4B42" w:rsidRPr="001A75D8" w:rsidRDefault="002C4B42" w:rsidP="009E6983">
            <w:pPr>
              <w:pStyle w:val="Default"/>
              <w:spacing w:after="9"/>
              <w:jc w:val="both"/>
              <w:rPr>
                <w:rFonts w:asciiTheme="majorHAnsi" w:hAnsiTheme="majorHAnsi" w:cstheme="majorBidi"/>
                <w:color w:val="auto"/>
                <w:sz w:val="22"/>
                <w:szCs w:val="22"/>
              </w:rPr>
            </w:pPr>
            <w:r w:rsidRPr="001A75D8">
              <w:rPr>
                <w:rFonts w:asciiTheme="majorHAnsi" w:hAnsiTheme="majorHAnsi" w:cstheme="majorBidi"/>
                <w:color w:val="auto"/>
                <w:sz w:val="22"/>
                <w:szCs w:val="22"/>
              </w:rPr>
              <w:t>RESTART Office (Compliance monitoring)</w:t>
            </w:r>
          </w:p>
        </w:tc>
      </w:tr>
    </w:tbl>
    <w:p w14:paraId="501515C9" w14:textId="77777777" w:rsidR="002C4B42" w:rsidRPr="00CC770D" w:rsidRDefault="002C4B42" w:rsidP="002C4B42">
      <w:pPr>
        <w:pStyle w:val="Default"/>
        <w:spacing w:after="9"/>
        <w:jc w:val="both"/>
        <w:rPr>
          <w:rFonts w:asciiTheme="majorHAnsi" w:hAnsiTheme="majorHAnsi" w:cstheme="majorBidi"/>
          <w:color w:val="000000" w:themeColor="text1"/>
          <w:sz w:val="22"/>
          <w:szCs w:val="22"/>
        </w:rPr>
      </w:pPr>
    </w:p>
    <w:p w14:paraId="53F1AFBD" w14:textId="77777777" w:rsidR="002C4B42" w:rsidRDefault="002C4B42" w:rsidP="0059178F">
      <w:pPr>
        <w:pStyle w:val="Default"/>
        <w:spacing w:after="9"/>
        <w:jc w:val="both"/>
        <w:rPr>
          <w:rFonts w:asciiTheme="majorHAnsi" w:hAnsiTheme="majorHAnsi" w:cstheme="majorHAnsi"/>
          <w:color w:val="000000" w:themeColor="text1"/>
          <w:sz w:val="22"/>
          <w:szCs w:val="22"/>
        </w:rPr>
      </w:pPr>
      <w:r w:rsidRPr="00CC770D">
        <w:rPr>
          <w:rFonts w:asciiTheme="majorHAnsi" w:hAnsiTheme="majorHAnsi" w:cstheme="majorHAnsi"/>
          <w:color w:val="000000" w:themeColor="text1"/>
          <w:sz w:val="22"/>
          <w:szCs w:val="22"/>
        </w:rPr>
        <w:t>The official dates and areas that will be monitored are subject to the implementation of the initiatives included in the Restart Funding Plan.</w:t>
      </w:r>
    </w:p>
    <w:p w14:paraId="79EFB8D4" w14:textId="77777777" w:rsidR="002C4B42" w:rsidRDefault="002C4B42" w:rsidP="0059178F">
      <w:pPr>
        <w:pStyle w:val="Default"/>
        <w:spacing w:after="9"/>
        <w:jc w:val="both"/>
        <w:rPr>
          <w:rFonts w:asciiTheme="majorHAnsi" w:hAnsiTheme="majorHAnsi" w:cstheme="majorHAnsi"/>
          <w:color w:val="000000" w:themeColor="text1"/>
        </w:rPr>
      </w:pPr>
    </w:p>
    <w:p w14:paraId="7C928EAE" w14:textId="1E515E11" w:rsidR="00D5654E" w:rsidRPr="004A1115" w:rsidRDefault="00BB5D20" w:rsidP="00D5654E">
      <w:pPr>
        <w:pStyle w:val="Heading4"/>
        <w:rPr>
          <w:i w:val="0"/>
          <w:iCs w:val="0"/>
        </w:rPr>
      </w:pPr>
      <w:r>
        <w:rPr>
          <w:i w:val="0"/>
          <w:iCs w:val="0"/>
        </w:rPr>
        <w:t>Non-public</w:t>
      </w:r>
      <w:r w:rsidRPr="004A1115">
        <w:rPr>
          <w:i w:val="0"/>
          <w:iCs w:val="0"/>
        </w:rPr>
        <w:t xml:space="preserve"> </w:t>
      </w:r>
      <w:r w:rsidR="00D5654E" w:rsidRPr="004A1115">
        <w:rPr>
          <w:i w:val="0"/>
          <w:iCs w:val="0"/>
        </w:rPr>
        <w:t>Schools</w:t>
      </w:r>
    </w:p>
    <w:p w14:paraId="1D78982F" w14:textId="6C0E89BE" w:rsidR="00D5654E" w:rsidRPr="00C00F89" w:rsidRDefault="00D5654E" w:rsidP="00D5654E">
      <w:pPr>
        <w:jc w:val="both"/>
        <w:rPr>
          <w:rFonts w:asciiTheme="majorHAnsi" w:hAnsiTheme="majorHAnsi" w:cstheme="majorHAnsi"/>
          <w:color w:val="000000" w:themeColor="text1"/>
        </w:rPr>
      </w:pPr>
      <w:r w:rsidRPr="00C00F89">
        <w:rPr>
          <w:rFonts w:asciiTheme="majorHAnsi" w:hAnsiTheme="majorHAnsi" w:cstheme="majorHAnsi"/>
          <w:color w:val="000000" w:themeColor="text1"/>
        </w:rPr>
        <w:t xml:space="preserve">Monitoring of private schools will take place </w:t>
      </w:r>
      <w:r w:rsidR="00646288">
        <w:rPr>
          <w:rFonts w:asciiTheme="majorHAnsi" w:hAnsiTheme="majorHAnsi" w:cstheme="majorHAnsi"/>
          <w:color w:val="000000" w:themeColor="text1"/>
        </w:rPr>
        <w:t xml:space="preserve">utilizing the </w:t>
      </w:r>
      <w:r w:rsidR="00646288" w:rsidRPr="00D7733C">
        <w:rPr>
          <w:rFonts w:asciiTheme="majorHAnsi" w:hAnsiTheme="majorHAnsi" w:cstheme="majorHAnsi"/>
          <w:color w:val="000000" w:themeColor="text1"/>
        </w:rPr>
        <w:t>desk monitoring</w:t>
      </w:r>
      <w:r w:rsidR="00646288" w:rsidRPr="00792989">
        <w:rPr>
          <w:rFonts w:asciiTheme="majorHAnsi" w:hAnsiTheme="majorHAnsi" w:cstheme="majorHAnsi"/>
          <w:color w:val="000000" w:themeColor="text1"/>
        </w:rPr>
        <w:t xml:space="preserve"> </w:t>
      </w:r>
      <w:r w:rsidR="00646288">
        <w:rPr>
          <w:rFonts w:asciiTheme="majorHAnsi" w:hAnsiTheme="majorHAnsi" w:cstheme="majorHAnsi"/>
          <w:color w:val="000000" w:themeColor="text1"/>
        </w:rPr>
        <w:t xml:space="preserve">method for </w:t>
      </w:r>
      <w:r w:rsidR="00646288" w:rsidRPr="00792989">
        <w:rPr>
          <w:rFonts w:asciiTheme="majorHAnsi" w:hAnsiTheme="majorHAnsi" w:cstheme="majorHAnsi"/>
          <w:color w:val="000000" w:themeColor="text1"/>
        </w:rPr>
        <w:t>the</w:t>
      </w:r>
      <w:r w:rsidR="00646288" w:rsidRPr="00D7733C">
        <w:rPr>
          <w:rFonts w:asciiTheme="majorHAnsi" w:hAnsiTheme="majorHAnsi" w:cstheme="majorHAnsi"/>
          <w:color w:val="000000" w:themeColor="text1"/>
        </w:rPr>
        <w:t xml:space="preserve"> 27 selected schools</w:t>
      </w:r>
      <w:r w:rsidR="00646288" w:rsidRPr="00792989">
        <w:rPr>
          <w:rFonts w:asciiTheme="majorHAnsi" w:hAnsiTheme="majorHAnsi" w:cstheme="majorHAnsi"/>
          <w:color w:val="000000" w:themeColor="text1"/>
        </w:rPr>
        <w:t xml:space="preserve">. Desk monitoring was the best option to make sure that we continue with monitoring activities during the pandemic, </w:t>
      </w:r>
      <w:r w:rsidR="00646288" w:rsidRPr="00D7733C">
        <w:rPr>
          <w:rFonts w:asciiTheme="majorHAnsi" w:hAnsiTheme="majorHAnsi" w:cstheme="majorHAnsi"/>
          <w:color w:val="000000" w:themeColor="text1"/>
        </w:rPr>
        <w:t xml:space="preserve">since a lot of non-publics schools remain closed, partially closed or </w:t>
      </w:r>
      <w:r w:rsidR="00646288" w:rsidRPr="00792989">
        <w:rPr>
          <w:rFonts w:asciiTheme="majorHAnsi" w:hAnsiTheme="majorHAnsi" w:cstheme="majorHAnsi"/>
          <w:color w:val="000000" w:themeColor="text1"/>
        </w:rPr>
        <w:t xml:space="preserve">providing </w:t>
      </w:r>
      <w:r w:rsidR="00646288" w:rsidRPr="00D7733C">
        <w:rPr>
          <w:rFonts w:asciiTheme="majorHAnsi" w:hAnsiTheme="majorHAnsi" w:cstheme="majorHAnsi"/>
          <w:color w:val="000000" w:themeColor="text1"/>
        </w:rPr>
        <w:t>distance education (with no in person visits from outsiders allowed</w:t>
      </w:r>
      <w:r w:rsidR="00646288" w:rsidRPr="00792989">
        <w:rPr>
          <w:rFonts w:asciiTheme="majorHAnsi" w:hAnsiTheme="majorHAnsi" w:cstheme="majorHAnsi"/>
          <w:color w:val="000000" w:themeColor="text1"/>
        </w:rPr>
        <w:t xml:space="preserve"> as caution</w:t>
      </w:r>
      <w:r w:rsidR="00646288" w:rsidRPr="00D7733C">
        <w:rPr>
          <w:rFonts w:asciiTheme="majorHAnsi" w:hAnsiTheme="majorHAnsi" w:cstheme="majorHAnsi"/>
          <w:color w:val="000000" w:themeColor="text1"/>
        </w:rPr>
        <w:t xml:space="preserve">). </w:t>
      </w:r>
      <w:r w:rsidR="00646288">
        <w:rPr>
          <w:rFonts w:asciiTheme="majorHAnsi" w:hAnsiTheme="majorHAnsi" w:cstheme="majorHAnsi"/>
          <w:color w:val="000000" w:themeColor="text1"/>
        </w:rPr>
        <w:t xml:space="preserve">The external </w:t>
      </w:r>
      <w:r w:rsidR="00724E09">
        <w:rPr>
          <w:rFonts w:asciiTheme="majorHAnsi" w:hAnsiTheme="majorHAnsi" w:cstheme="majorHAnsi"/>
          <w:color w:val="000000" w:themeColor="text1"/>
        </w:rPr>
        <w:t xml:space="preserve">vendor </w:t>
      </w:r>
      <w:r w:rsidR="00724E09" w:rsidRPr="00C00F89">
        <w:rPr>
          <w:rFonts w:asciiTheme="majorHAnsi" w:hAnsiTheme="majorHAnsi" w:cstheme="majorHAnsi"/>
          <w:color w:val="000000" w:themeColor="text1"/>
        </w:rPr>
        <w:t>modified</w:t>
      </w:r>
      <w:r w:rsidRPr="00C00F89">
        <w:rPr>
          <w:rFonts w:asciiTheme="majorHAnsi" w:hAnsiTheme="majorHAnsi" w:cstheme="majorHAnsi"/>
          <w:color w:val="000000" w:themeColor="text1"/>
        </w:rPr>
        <w:t xml:space="preserve"> the forms that are used for public schools</w:t>
      </w:r>
      <w:r w:rsidR="00646288">
        <w:rPr>
          <w:rFonts w:asciiTheme="majorHAnsi" w:hAnsiTheme="majorHAnsi" w:cstheme="majorHAnsi"/>
          <w:color w:val="000000" w:themeColor="text1"/>
        </w:rPr>
        <w:t xml:space="preserve"> to customize them for the non-public </w:t>
      </w:r>
      <w:r w:rsidR="00724E09">
        <w:rPr>
          <w:rFonts w:asciiTheme="majorHAnsi" w:hAnsiTheme="majorHAnsi" w:cstheme="majorHAnsi"/>
          <w:color w:val="000000" w:themeColor="text1"/>
        </w:rPr>
        <w:t>schools’</w:t>
      </w:r>
      <w:r w:rsidR="00646288">
        <w:rPr>
          <w:rFonts w:asciiTheme="majorHAnsi" w:hAnsiTheme="majorHAnsi" w:cstheme="majorHAnsi"/>
          <w:color w:val="000000" w:themeColor="text1"/>
        </w:rPr>
        <w:t xml:space="preserve"> processes.</w:t>
      </w:r>
      <w:r w:rsidRPr="00C00F89">
        <w:rPr>
          <w:rFonts w:asciiTheme="majorHAnsi" w:hAnsiTheme="majorHAnsi" w:cstheme="majorHAnsi"/>
          <w:color w:val="000000" w:themeColor="text1"/>
        </w:rPr>
        <w:t xml:space="preserve"> The procedure beg</w:t>
      </w:r>
      <w:r w:rsidR="00646288">
        <w:rPr>
          <w:rFonts w:asciiTheme="majorHAnsi" w:hAnsiTheme="majorHAnsi" w:cstheme="majorHAnsi"/>
          <w:color w:val="000000" w:themeColor="text1"/>
        </w:rPr>
        <w:t>a</w:t>
      </w:r>
      <w:r w:rsidRPr="00C00F89">
        <w:rPr>
          <w:rFonts w:asciiTheme="majorHAnsi" w:hAnsiTheme="majorHAnsi" w:cstheme="majorHAnsi"/>
          <w:color w:val="000000" w:themeColor="text1"/>
        </w:rPr>
        <w:t>n with the review and validation of the needs assessment to ensure the data is accurate and no other funds have been claimed or received to/from insurances and/or other federal emergency assistance programs. For this reason, PRDE is asking that any request for goods and services to be supported by fully completed forms and evidence of the damages that occurred within the private schools (</w:t>
      </w:r>
      <w:r w:rsidR="00BB5D20" w:rsidRPr="00C00F89">
        <w:rPr>
          <w:rFonts w:asciiTheme="majorHAnsi" w:hAnsiTheme="majorHAnsi" w:cstheme="majorHAnsi"/>
          <w:color w:val="000000" w:themeColor="text1"/>
        </w:rPr>
        <w:t>e.g.,</w:t>
      </w:r>
      <w:r w:rsidRPr="00C00F89">
        <w:rPr>
          <w:rFonts w:asciiTheme="majorHAnsi" w:hAnsiTheme="majorHAnsi" w:cstheme="majorHAnsi"/>
          <w:color w:val="000000" w:themeColor="text1"/>
        </w:rPr>
        <w:t xml:space="preserve"> photos, sworn statements, etc.). The private schools ha</w:t>
      </w:r>
      <w:r w:rsidR="00646288">
        <w:rPr>
          <w:rFonts w:asciiTheme="majorHAnsi" w:hAnsiTheme="majorHAnsi" w:cstheme="majorHAnsi"/>
          <w:color w:val="000000" w:themeColor="text1"/>
        </w:rPr>
        <w:t>d</w:t>
      </w:r>
      <w:r w:rsidRPr="00C00F89">
        <w:rPr>
          <w:rFonts w:asciiTheme="majorHAnsi" w:hAnsiTheme="majorHAnsi" w:cstheme="majorHAnsi"/>
          <w:color w:val="000000" w:themeColor="text1"/>
        </w:rPr>
        <w:t xml:space="preserve"> to certify that they haven’t received any of the requested goods and services by any other means (for further details on the private school Restart process on requesting services, please refer to Appendix B - Restart Flowchart Request Process for Private Schools).</w:t>
      </w:r>
    </w:p>
    <w:p w14:paraId="3672F700" w14:textId="77777777" w:rsidR="00D5654E" w:rsidRPr="00C00F89" w:rsidRDefault="00D5654E" w:rsidP="00D5654E">
      <w:pPr>
        <w:jc w:val="both"/>
        <w:rPr>
          <w:rFonts w:asciiTheme="majorHAnsi" w:hAnsiTheme="majorHAnsi" w:cstheme="majorHAnsi"/>
          <w:color w:val="000000" w:themeColor="text1"/>
        </w:rPr>
      </w:pPr>
    </w:p>
    <w:p w14:paraId="737A901E" w14:textId="3211B3E2" w:rsidR="00D5654E" w:rsidRPr="00C00F89" w:rsidRDefault="00D5654E" w:rsidP="00D5654E">
      <w:pPr>
        <w:jc w:val="both"/>
        <w:rPr>
          <w:rFonts w:asciiTheme="majorHAnsi" w:hAnsiTheme="majorHAnsi" w:cstheme="majorHAnsi"/>
          <w:color w:val="000000" w:themeColor="text1"/>
        </w:rPr>
      </w:pPr>
      <w:r w:rsidRPr="00C00F89">
        <w:rPr>
          <w:rFonts w:asciiTheme="majorHAnsi" w:hAnsiTheme="majorHAnsi" w:cstheme="majorHAnsi"/>
          <w:color w:val="000000" w:themeColor="text1"/>
        </w:rPr>
        <w:t xml:space="preserve">PRDE created an email address for all private school communications related to the Restart program to provide continuous support and technical </w:t>
      </w:r>
      <w:r w:rsidR="00646288" w:rsidRPr="00C00F89">
        <w:rPr>
          <w:rFonts w:asciiTheme="majorHAnsi" w:hAnsiTheme="majorHAnsi" w:cstheme="majorHAnsi"/>
          <w:color w:val="000000" w:themeColor="text1"/>
        </w:rPr>
        <w:t>assistance</w:t>
      </w:r>
      <w:r w:rsidR="00646288">
        <w:rPr>
          <w:rFonts w:asciiTheme="majorHAnsi" w:hAnsiTheme="majorHAnsi" w:cstheme="majorHAnsi"/>
          <w:color w:val="000000" w:themeColor="text1"/>
        </w:rPr>
        <w:t xml:space="preserve"> mattei_d@de.pr.gov</w:t>
      </w:r>
      <w:r w:rsidRPr="00345664">
        <w:rPr>
          <w:rFonts w:asciiTheme="majorHAnsi" w:hAnsiTheme="majorHAnsi" w:cstheme="majorHAnsi"/>
          <w:b/>
          <w:color w:val="FF0000"/>
        </w:rPr>
        <w:t>.</w:t>
      </w:r>
      <w:r w:rsidRPr="00345664">
        <w:rPr>
          <w:rFonts w:asciiTheme="majorHAnsi" w:hAnsiTheme="majorHAnsi" w:cstheme="majorHAnsi"/>
          <w:color w:val="FF0000"/>
        </w:rPr>
        <w:t xml:space="preserve"> </w:t>
      </w:r>
      <w:r w:rsidRPr="00C00F89">
        <w:rPr>
          <w:rFonts w:asciiTheme="majorHAnsi" w:hAnsiTheme="majorHAnsi" w:cstheme="majorHAnsi"/>
          <w:color w:val="000000" w:themeColor="text1"/>
        </w:rPr>
        <w:t xml:space="preserve">Additionally, PRDE has held </w:t>
      </w:r>
      <w:r>
        <w:rPr>
          <w:rFonts w:asciiTheme="majorHAnsi" w:hAnsiTheme="majorHAnsi" w:cstheme="majorHAnsi"/>
          <w:color w:val="000000" w:themeColor="text1"/>
        </w:rPr>
        <w:t>several</w:t>
      </w:r>
      <w:r w:rsidRPr="00C00F89">
        <w:rPr>
          <w:rFonts w:asciiTheme="majorHAnsi" w:hAnsiTheme="majorHAnsi" w:cstheme="majorHAnsi"/>
          <w:color w:val="000000" w:themeColor="text1"/>
        </w:rPr>
        <w:t xml:space="preserve"> consultation meetings </w:t>
      </w:r>
      <w:r>
        <w:rPr>
          <w:rFonts w:asciiTheme="majorHAnsi" w:hAnsiTheme="majorHAnsi" w:cstheme="majorHAnsi"/>
          <w:color w:val="000000" w:themeColor="text1"/>
        </w:rPr>
        <w:t xml:space="preserve">during 2019 and 2020 </w:t>
      </w:r>
      <w:r w:rsidRPr="00C00F89">
        <w:rPr>
          <w:rFonts w:asciiTheme="majorHAnsi" w:hAnsiTheme="majorHAnsi" w:cstheme="majorHAnsi"/>
          <w:color w:val="000000" w:themeColor="text1"/>
        </w:rPr>
        <w:t>where private school leaders had the opportunity to bring up any concerns while filling out the Restart request forms</w:t>
      </w:r>
      <w:r>
        <w:rPr>
          <w:rFonts w:asciiTheme="majorHAnsi" w:hAnsiTheme="majorHAnsi" w:cstheme="majorHAnsi"/>
          <w:color w:val="000000" w:themeColor="text1"/>
        </w:rPr>
        <w:t xml:space="preserve">. </w:t>
      </w:r>
      <w:r w:rsidRPr="00C00F89">
        <w:rPr>
          <w:rFonts w:asciiTheme="majorHAnsi" w:hAnsiTheme="majorHAnsi" w:cstheme="majorHAnsi"/>
          <w:color w:val="000000" w:themeColor="text1"/>
        </w:rPr>
        <w:t>PRDE has set February 28, 2019 as a preliminary date for private schools to apply for Restart assistance to ensure that PRDE can provide it for this school year</w:t>
      </w:r>
      <w:r>
        <w:rPr>
          <w:rFonts w:asciiTheme="majorHAnsi" w:hAnsiTheme="majorHAnsi" w:cstheme="majorHAnsi"/>
          <w:color w:val="000000" w:themeColor="text1"/>
        </w:rPr>
        <w:t>. However, a new window was open for private schools to request Restart funds, documentation must be sent by January 22, 2020</w:t>
      </w:r>
      <w:r w:rsidR="00545508">
        <w:rPr>
          <w:rFonts w:asciiTheme="majorHAnsi" w:hAnsiTheme="majorHAnsi" w:cstheme="majorHAnsi"/>
          <w:color w:val="000000" w:themeColor="text1"/>
        </w:rPr>
        <w:t xml:space="preserve">. </w:t>
      </w:r>
      <w:r w:rsidRPr="00C00F89">
        <w:rPr>
          <w:rFonts w:asciiTheme="majorHAnsi" w:hAnsiTheme="majorHAnsi" w:cstheme="majorHAnsi"/>
          <w:color w:val="000000" w:themeColor="text1"/>
        </w:rPr>
        <w:t>PRDE</w:t>
      </w:r>
      <w:r w:rsidRPr="00C00F89">
        <w:rPr>
          <w:rFonts w:asciiTheme="majorHAnsi" w:hAnsiTheme="majorHAnsi" w:cstheme="majorBidi"/>
          <w:color w:val="000000" w:themeColor="text1"/>
        </w:rPr>
        <w:t xml:space="preserve"> </w:t>
      </w:r>
      <w:r w:rsidR="00646288">
        <w:rPr>
          <w:rFonts w:asciiTheme="majorHAnsi" w:hAnsiTheme="majorHAnsi" w:cstheme="majorBidi"/>
          <w:color w:val="000000" w:themeColor="text1"/>
        </w:rPr>
        <w:t xml:space="preserve">took </w:t>
      </w:r>
      <w:r w:rsidRPr="00C00F89">
        <w:rPr>
          <w:rFonts w:asciiTheme="majorHAnsi" w:hAnsiTheme="majorHAnsi" w:cstheme="majorBidi"/>
          <w:color w:val="000000" w:themeColor="text1"/>
        </w:rPr>
        <w:t xml:space="preserve">affirmative steps for the provision of services to non-public schools, in order for them to have equitable access to this federal program aid while restarting their operations. </w:t>
      </w:r>
    </w:p>
    <w:p w14:paraId="3FF7B5ED" w14:textId="77777777" w:rsidR="00D5654E" w:rsidRPr="00C00F89" w:rsidRDefault="00D5654E" w:rsidP="00D5654E">
      <w:pPr>
        <w:jc w:val="both"/>
        <w:rPr>
          <w:rFonts w:asciiTheme="majorHAnsi" w:hAnsiTheme="majorHAnsi" w:cstheme="majorHAnsi"/>
          <w:color w:val="000000" w:themeColor="text1"/>
        </w:rPr>
      </w:pPr>
    </w:p>
    <w:p w14:paraId="1D0B15A6" w14:textId="7798124B" w:rsidR="00D5654E" w:rsidRPr="00C00F89" w:rsidRDefault="00D5654E" w:rsidP="00D5654E">
      <w:pPr>
        <w:jc w:val="both"/>
        <w:rPr>
          <w:rFonts w:asciiTheme="majorHAnsi" w:hAnsiTheme="majorHAnsi" w:cstheme="majorHAnsi"/>
          <w:color w:val="000000" w:themeColor="text1"/>
        </w:rPr>
      </w:pPr>
      <w:r w:rsidRPr="00C00F89">
        <w:rPr>
          <w:rFonts w:asciiTheme="majorHAnsi" w:hAnsiTheme="majorHAnsi" w:cstheme="majorHAnsi"/>
          <w:color w:val="000000" w:themeColor="text1"/>
        </w:rPr>
        <w:t>ESD assist</w:t>
      </w:r>
      <w:r w:rsidR="00646288">
        <w:rPr>
          <w:rFonts w:asciiTheme="majorHAnsi" w:hAnsiTheme="majorHAnsi" w:cstheme="majorHAnsi"/>
          <w:color w:val="000000" w:themeColor="text1"/>
        </w:rPr>
        <w:t>ed</w:t>
      </w:r>
      <w:r w:rsidRPr="00C00F89">
        <w:rPr>
          <w:rFonts w:asciiTheme="majorHAnsi" w:hAnsiTheme="majorHAnsi" w:cstheme="majorHAnsi"/>
          <w:color w:val="000000" w:themeColor="text1"/>
        </w:rPr>
        <w:t xml:space="preserve"> the designated monitoring team (independent contractor hired by PRDE) in undertaking a monitoring plan which includes private schools. During the risk assessment established to select the sample of schools to be monitored, ESD provide</w:t>
      </w:r>
      <w:r w:rsidR="00646288">
        <w:rPr>
          <w:rFonts w:asciiTheme="majorHAnsi" w:hAnsiTheme="majorHAnsi" w:cstheme="majorHAnsi"/>
          <w:color w:val="000000" w:themeColor="text1"/>
        </w:rPr>
        <w:t>d</w:t>
      </w:r>
      <w:r w:rsidRPr="00C00F89">
        <w:rPr>
          <w:rFonts w:asciiTheme="majorHAnsi" w:hAnsiTheme="majorHAnsi" w:cstheme="majorHAnsi"/>
          <w:color w:val="000000" w:themeColor="text1"/>
        </w:rPr>
        <w:t xml:space="preserve"> valuable input based on their previous interactions with private schools</w:t>
      </w:r>
      <w:r w:rsidR="00646288">
        <w:rPr>
          <w:rFonts w:asciiTheme="majorHAnsi" w:hAnsiTheme="majorHAnsi" w:cstheme="majorHAnsi"/>
          <w:color w:val="000000" w:themeColor="text1"/>
        </w:rPr>
        <w:t xml:space="preserve"> and data collected from the processes carried out that were previously discussed</w:t>
      </w:r>
      <w:r w:rsidRPr="00C00F89">
        <w:rPr>
          <w:rFonts w:asciiTheme="majorHAnsi" w:hAnsiTheme="majorHAnsi" w:cstheme="majorHAnsi"/>
          <w:color w:val="000000" w:themeColor="text1"/>
        </w:rPr>
        <w:t xml:space="preserve">. A detailed private school monitoring rubric </w:t>
      </w:r>
      <w:r w:rsidR="00646288">
        <w:rPr>
          <w:rFonts w:asciiTheme="majorHAnsi" w:hAnsiTheme="majorHAnsi" w:cstheme="majorHAnsi"/>
          <w:color w:val="000000" w:themeColor="text1"/>
        </w:rPr>
        <w:t>was</w:t>
      </w:r>
      <w:r w:rsidRPr="00C00F89">
        <w:rPr>
          <w:rFonts w:asciiTheme="majorHAnsi" w:hAnsiTheme="majorHAnsi" w:cstheme="majorHAnsi"/>
          <w:color w:val="000000" w:themeColor="text1"/>
        </w:rPr>
        <w:t xml:space="preserve"> </w:t>
      </w:r>
      <w:r w:rsidR="00646288">
        <w:rPr>
          <w:rFonts w:asciiTheme="majorHAnsi" w:hAnsiTheme="majorHAnsi" w:cstheme="majorHAnsi"/>
          <w:color w:val="000000" w:themeColor="text1"/>
        </w:rPr>
        <w:t>created</w:t>
      </w:r>
      <w:r w:rsidR="00646288" w:rsidRPr="00C00F89">
        <w:rPr>
          <w:rFonts w:asciiTheme="majorHAnsi" w:hAnsiTheme="majorHAnsi" w:cstheme="majorHAnsi"/>
          <w:color w:val="000000" w:themeColor="text1"/>
        </w:rPr>
        <w:t xml:space="preserve"> </w:t>
      </w:r>
      <w:r w:rsidR="00646288">
        <w:rPr>
          <w:rFonts w:asciiTheme="majorHAnsi" w:hAnsiTheme="majorHAnsi" w:cstheme="majorHAnsi"/>
          <w:color w:val="000000" w:themeColor="text1"/>
        </w:rPr>
        <w:t xml:space="preserve">and has been in use for several months as we continue virtual and distance monitoring activities of private schools. Documents in file are being </w:t>
      </w:r>
      <w:r w:rsidR="0089621E">
        <w:rPr>
          <w:rFonts w:asciiTheme="majorHAnsi" w:hAnsiTheme="majorHAnsi" w:cstheme="majorHAnsi"/>
          <w:color w:val="000000" w:themeColor="text1"/>
        </w:rPr>
        <w:t xml:space="preserve">analyzed </w:t>
      </w:r>
      <w:r w:rsidR="00FB453B">
        <w:rPr>
          <w:rFonts w:asciiTheme="majorHAnsi" w:hAnsiTheme="majorHAnsi" w:cstheme="majorHAnsi"/>
          <w:color w:val="000000" w:themeColor="text1"/>
        </w:rPr>
        <w:t xml:space="preserve">by the external </w:t>
      </w:r>
      <w:r w:rsidR="00F625DC">
        <w:rPr>
          <w:rFonts w:asciiTheme="majorHAnsi" w:hAnsiTheme="majorHAnsi" w:cstheme="majorHAnsi"/>
          <w:color w:val="000000" w:themeColor="text1"/>
        </w:rPr>
        <w:t xml:space="preserve">monitor </w:t>
      </w:r>
      <w:r w:rsidR="00646288">
        <w:rPr>
          <w:rFonts w:asciiTheme="majorHAnsi" w:hAnsiTheme="majorHAnsi" w:cstheme="majorHAnsi"/>
          <w:color w:val="000000" w:themeColor="text1"/>
        </w:rPr>
        <w:t xml:space="preserve">and continuous calls and meetings have been held to clarify questions and information that was handed. </w:t>
      </w:r>
      <w:r w:rsidR="00043429">
        <w:rPr>
          <w:rFonts w:asciiTheme="majorHAnsi" w:hAnsiTheme="majorHAnsi" w:cstheme="majorHAnsi"/>
          <w:color w:val="000000" w:themeColor="text1"/>
        </w:rPr>
        <w:t xml:space="preserve">Monitors </w:t>
      </w:r>
      <w:r w:rsidR="00FB453B">
        <w:rPr>
          <w:rFonts w:asciiTheme="majorHAnsi" w:hAnsiTheme="majorHAnsi" w:cstheme="majorHAnsi"/>
          <w:color w:val="000000" w:themeColor="text1"/>
        </w:rPr>
        <w:t xml:space="preserve">could communicate with </w:t>
      </w:r>
      <w:r w:rsidR="0089621E">
        <w:rPr>
          <w:rFonts w:asciiTheme="majorHAnsi" w:hAnsiTheme="majorHAnsi" w:cstheme="majorHAnsi"/>
          <w:color w:val="000000" w:themeColor="text1"/>
        </w:rPr>
        <w:t>Restart office</w:t>
      </w:r>
      <w:r w:rsidR="00FB453B">
        <w:rPr>
          <w:rFonts w:asciiTheme="majorHAnsi" w:hAnsiTheme="majorHAnsi" w:cstheme="majorHAnsi"/>
          <w:color w:val="000000" w:themeColor="text1"/>
        </w:rPr>
        <w:t xml:space="preserve"> to </w:t>
      </w:r>
      <w:r w:rsidR="00043429">
        <w:rPr>
          <w:rFonts w:asciiTheme="majorHAnsi" w:hAnsiTheme="majorHAnsi" w:cstheme="majorHAnsi"/>
          <w:color w:val="000000" w:themeColor="text1"/>
        </w:rPr>
        <w:t xml:space="preserve">clarify </w:t>
      </w:r>
      <w:r w:rsidR="00FB453B">
        <w:rPr>
          <w:rFonts w:asciiTheme="majorHAnsi" w:hAnsiTheme="majorHAnsi" w:cstheme="majorHAnsi"/>
          <w:color w:val="000000" w:themeColor="text1"/>
        </w:rPr>
        <w:t xml:space="preserve">any information that </w:t>
      </w:r>
      <w:r w:rsidR="00724E09">
        <w:rPr>
          <w:rFonts w:asciiTheme="majorHAnsi" w:hAnsiTheme="majorHAnsi" w:cstheme="majorHAnsi"/>
          <w:color w:val="000000" w:themeColor="text1"/>
        </w:rPr>
        <w:t>they</w:t>
      </w:r>
      <w:r w:rsidR="00FB453B">
        <w:rPr>
          <w:rFonts w:asciiTheme="majorHAnsi" w:hAnsiTheme="majorHAnsi" w:cstheme="majorHAnsi"/>
          <w:color w:val="000000" w:themeColor="text1"/>
        </w:rPr>
        <w:t xml:space="preserve"> may need</w:t>
      </w:r>
      <w:r w:rsidR="0089621E">
        <w:rPr>
          <w:rFonts w:asciiTheme="majorHAnsi" w:hAnsiTheme="majorHAnsi" w:cstheme="majorHAnsi"/>
          <w:color w:val="000000" w:themeColor="text1"/>
        </w:rPr>
        <w:t xml:space="preserve">. </w:t>
      </w:r>
    </w:p>
    <w:p w14:paraId="4D4A3EE5" w14:textId="77777777" w:rsidR="00D5654E" w:rsidRDefault="00D5654E" w:rsidP="00D5654E">
      <w:pPr>
        <w:jc w:val="both"/>
        <w:rPr>
          <w:rFonts w:asciiTheme="majorHAnsi" w:hAnsiTheme="majorHAnsi" w:cstheme="majorHAnsi"/>
          <w:color w:val="000000" w:themeColor="text1"/>
          <w:sz w:val="22"/>
          <w:szCs w:val="22"/>
        </w:rPr>
      </w:pPr>
    </w:p>
    <w:p w14:paraId="345BBCDF" w14:textId="77777777" w:rsidR="002C4B42" w:rsidRPr="00ED5272" w:rsidRDefault="002C4B42" w:rsidP="000C24C3">
      <w:pPr>
        <w:pStyle w:val="Heading5"/>
      </w:pPr>
      <w:r w:rsidRPr="00ED5272">
        <w:t>Independent provider</w:t>
      </w:r>
    </w:p>
    <w:p w14:paraId="3E697D25" w14:textId="77777777" w:rsidR="002C4B42" w:rsidRPr="00ED5272" w:rsidRDefault="002C4B42" w:rsidP="0059178F">
      <w:pPr>
        <w:pStyle w:val="Default"/>
        <w:spacing w:after="9"/>
        <w:jc w:val="both"/>
        <w:rPr>
          <w:rFonts w:asciiTheme="majorHAnsi" w:hAnsiTheme="majorHAnsi" w:cstheme="majorHAnsi"/>
          <w:color w:val="000000" w:themeColor="text1"/>
        </w:rPr>
      </w:pPr>
      <w:r w:rsidRPr="00ED5272">
        <w:rPr>
          <w:rFonts w:asciiTheme="majorHAnsi" w:hAnsiTheme="majorHAnsi" w:cstheme="majorHAnsi"/>
          <w:color w:val="000000" w:themeColor="text1"/>
        </w:rPr>
        <w:t>PRDE has procured an independent contractor specifically to assist with the Restart grant. The contractor will assist PRDE with:</w:t>
      </w:r>
    </w:p>
    <w:p w14:paraId="6FF2CEE1" w14:textId="77777777" w:rsidR="002C4B42" w:rsidRPr="00ED5272" w:rsidRDefault="002C4B42" w:rsidP="00342E9E">
      <w:pPr>
        <w:pStyle w:val="Default"/>
        <w:numPr>
          <w:ilvl w:val="0"/>
          <w:numId w:val="11"/>
        </w:numPr>
        <w:spacing w:after="9"/>
        <w:ind w:left="360"/>
        <w:jc w:val="both"/>
        <w:rPr>
          <w:rFonts w:asciiTheme="majorHAnsi" w:hAnsiTheme="majorHAnsi" w:cstheme="majorBidi"/>
          <w:color w:val="000000" w:themeColor="text1"/>
        </w:rPr>
      </w:pPr>
      <w:r w:rsidRPr="00ED5272">
        <w:rPr>
          <w:rFonts w:asciiTheme="majorHAnsi" w:hAnsiTheme="majorHAnsi" w:cstheme="majorBidi"/>
          <w:color w:val="000000" w:themeColor="text1"/>
        </w:rPr>
        <w:t>Performing assessments and providing observations regarding policies and procedures as they relate to Federal requirements for grant funding</w:t>
      </w:r>
    </w:p>
    <w:p w14:paraId="50F770CB" w14:textId="77777777" w:rsidR="002C4B42" w:rsidRPr="00ED5272" w:rsidRDefault="002C4B42" w:rsidP="00342E9E">
      <w:pPr>
        <w:pStyle w:val="Default"/>
        <w:numPr>
          <w:ilvl w:val="0"/>
          <w:numId w:val="11"/>
        </w:numPr>
        <w:spacing w:after="9"/>
        <w:ind w:left="360"/>
        <w:jc w:val="both"/>
        <w:rPr>
          <w:rFonts w:asciiTheme="majorHAnsi" w:hAnsiTheme="majorHAnsi" w:cstheme="majorBidi"/>
          <w:color w:val="000000" w:themeColor="text1"/>
        </w:rPr>
      </w:pPr>
      <w:r w:rsidRPr="00ED5272">
        <w:rPr>
          <w:rFonts w:asciiTheme="majorHAnsi" w:hAnsiTheme="majorHAnsi" w:cstheme="majorBidi"/>
          <w:color w:val="000000" w:themeColor="text1"/>
        </w:rPr>
        <w:t>Developing monitoring tools for validation purposes to be implemented by the contractor</w:t>
      </w:r>
    </w:p>
    <w:p w14:paraId="3FAEFAAE" w14:textId="77777777" w:rsidR="002C4B42" w:rsidRPr="0035199C" w:rsidRDefault="002C4B42" w:rsidP="00342E9E">
      <w:pPr>
        <w:pStyle w:val="Default"/>
        <w:numPr>
          <w:ilvl w:val="0"/>
          <w:numId w:val="11"/>
        </w:numPr>
        <w:spacing w:after="9"/>
        <w:ind w:left="360"/>
        <w:jc w:val="both"/>
        <w:rPr>
          <w:rFonts w:asciiTheme="majorHAnsi" w:hAnsiTheme="majorHAnsi" w:cstheme="majorHAnsi"/>
          <w:color w:val="000000" w:themeColor="text1"/>
        </w:rPr>
      </w:pPr>
      <w:r w:rsidRPr="0035199C">
        <w:rPr>
          <w:rFonts w:asciiTheme="majorHAnsi" w:hAnsiTheme="majorHAnsi" w:cstheme="majorHAnsi"/>
          <w:color w:val="000000" w:themeColor="text1"/>
        </w:rPr>
        <w:t>Supporting the implementation of the monitoring program</w:t>
      </w:r>
    </w:p>
    <w:p w14:paraId="36D3C45F" w14:textId="77777777" w:rsidR="002C4B42" w:rsidRPr="0035199C" w:rsidRDefault="002C4B42" w:rsidP="00342E9E">
      <w:pPr>
        <w:pStyle w:val="Default"/>
        <w:numPr>
          <w:ilvl w:val="0"/>
          <w:numId w:val="11"/>
        </w:numPr>
        <w:spacing w:after="9"/>
        <w:ind w:left="360"/>
        <w:jc w:val="both"/>
        <w:rPr>
          <w:rFonts w:asciiTheme="majorHAnsi" w:hAnsiTheme="majorHAnsi" w:cstheme="majorHAnsi"/>
          <w:color w:val="000000" w:themeColor="text1"/>
        </w:rPr>
      </w:pPr>
      <w:r w:rsidRPr="0035199C">
        <w:rPr>
          <w:rFonts w:asciiTheme="majorHAnsi" w:hAnsiTheme="majorHAnsi" w:cstheme="majorHAnsi"/>
          <w:color w:val="000000" w:themeColor="text1"/>
        </w:rPr>
        <w:t>Attending a sample of monitoring visits</w:t>
      </w:r>
    </w:p>
    <w:p w14:paraId="75213E36" w14:textId="77777777" w:rsidR="002C4B42" w:rsidRPr="0035199C" w:rsidRDefault="002C4B42" w:rsidP="00342E9E">
      <w:pPr>
        <w:pStyle w:val="Default"/>
        <w:numPr>
          <w:ilvl w:val="0"/>
          <w:numId w:val="11"/>
        </w:numPr>
        <w:spacing w:after="9"/>
        <w:ind w:left="360"/>
        <w:jc w:val="both"/>
        <w:rPr>
          <w:rFonts w:asciiTheme="majorHAnsi" w:hAnsiTheme="majorHAnsi" w:cstheme="majorHAnsi"/>
          <w:color w:val="000000" w:themeColor="text1"/>
        </w:rPr>
      </w:pPr>
      <w:r w:rsidRPr="0035199C">
        <w:rPr>
          <w:rFonts w:asciiTheme="majorHAnsi" w:hAnsiTheme="majorHAnsi" w:cstheme="majorHAnsi"/>
          <w:color w:val="000000" w:themeColor="text1"/>
        </w:rPr>
        <w:t>Gathering and reviewing monitoring reports</w:t>
      </w:r>
    </w:p>
    <w:p w14:paraId="175C8552" w14:textId="77777777" w:rsidR="002C4B42" w:rsidRPr="00ED5272" w:rsidRDefault="002C4B42" w:rsidP="00342E9E">
      <w:pPr>
        <w:pStyle w:val="Default"/>
        <w:numPr>
          <w:ilvl w:val="0"/>
          <w:numId w:val="11"/>
        </w:numPr>
        <w:spacing w:after="9"/>
        <w:ind w:left="360"/>
        <w:jc w:val="both"/>
        <w:rPr>
          <w:rFonts w:asciiTheme="majorHAnsi" w:hAnsiTheme="majorHAnsi" w:cstheme="majorHAnsi"/>
          <w:color w:val="000000" w:themeColor="text1"/>
        </w:rPr>
      </w:pPr>
      <w:r w:rsidRPr="0035199C">
        <w:rPr>
          <w:rFonts w:asciiTheme="majorHAnsi" w:hAnsiTheme="majorHAnsi" w:cstheme="majorHAnsi"/>
          <w:color w:val="000000" w:themeColor="text1"/>
        </w:rPr>
        <w:t>Summarizing</w:t>
      </w:r>
      <w:r w:rsidRPr="00ED5272">
        <w:rPr>
          <w:rFonts w:asciiTheme="majorHAnsi" w:hAnsiTheme="majorHAnsi" w:cstheme="majorHAnsi"/>
          <w:color w:val="000000" w:themeColor="text1"/>
        </w:rPr>
        <w:t xml:space="preserve"> data to be reported to the USDE</w:t>
      </w:r>
    </w:p>
    <w:p w14:paraId="53735D40" w14:textId="77777777" w:rsidR="002C4B42" w:rsidRPr="00ED5272" w:rsidRDefault="002C4B42" w:rsidP="0059178F">
      <w:pPr>
        <w:pStyle w:val="Default"/>
        <w:spacing w:after="9"/>
        <w:jc w:val="both"/>
        <w:rPr>
          <w:rFonts w:asciiTheme="majorHAnsi" w:hAnsiTheme="majorHAnsi" w:cstheme="majorBidi"/>
          <w:color w:val="000000" w:themeColor="text1"/>
        </w:rPr>
      </w:pPr>
    </w:p>
    <w:p w14:paraId="0BCD3E83" w14:textId="77777777" w:rsidR="002C4B42" w:rsidRPr="00ED5272" w:rsidRDefault="002C4B42" w:rsidP="0059178F">
      <w:pPr>
        <w:pStyle w:val="Default"/>
        <w:spacing w:after="9"/>
        <w:jc w:val="both"/>
        <w:rPr>
          <w:rFonts w:asciiTheme="majorHAnsi" w:hAnsiTheme="majorHAnsi" w:cstheme="majorBidi"/>
          <w:color w:val="000000" w:themeColor="text1"/>
        </w:rPr>
      </w:pPr>
      <w:r w:rsidRPr="00ED5272">
        <w:rPr>
          <w:rFonts w:asciiTheme="majorHAnsi" w:hAnsiTheme="majorHAnsi" w:cstheme="majorBidi"/>
          <w:color w:val="000000" w:themeColor="text1"/>
        </w:rPr>
        <w:t xml:space="preserve">The validation process for private schools will be developed and implemented by the contractor and will include instruments to be utilized. The independent contractor will assist the ESD with the following: </w:t>
      </w:r>
    </w:p>
    <w:p w14:paraId="5BE3EE65" w14:textId="77777777" w:rsidR="002C4B42" w:rsidRPr="00ED5272" w:rsidRDefault="002C4B42" w:rsidP="00342E9E">
      <w:pPr>
        <w:pStyle w:val="Default"/>
        <w:numPr>
          <w:ilvl w:val="0"/>
          <w:numId w:val="12"/>
        </w:numPr>
        <w:spacing w:after="9"/>
        <w:jc w:val="both"/>
        <w:rPr>
          <w:rFonts w:asciiTheme="majorHAnsi" w:hAnsiTheme="majorHAnsi" w:cstheme="majorBidi"/>
          <w:color w:val="000000" w:themeColor="text1"/>
        </w:rPr>
      </w:pPr>
      <w:r w:rsidRPr="00ED5272">
        <w:rPr>
          <w:rFonts w:asciiTheme="majorHAnsi" w:hAnsiTheme="majorHAnsi" w:cstheme="majorBidi"/>
          <w:color w:val="000000" w:themeColor="text1"/>
        </w:rPr>
        <w:t>If necessary, revising the procedures established for the provision of the services</w:t>
      </w:r>
    </w:p>
    <w:p w14:paraId="1E1CD204" w14:textId="7891D10A" w:rsidR="002C4B42" w:rsidRPr="00ED5272" w:rsidRDefault="0035199C" w:rsidP="00342E9E">
      <w:pPr>
        <w:pStyle w:val="Default"/>
        <w:numPr>
          <w:ilvl w:val="0"/>
          <w:numId w:val="12"/>
        </w:numPr>
        <w:spacing w:after="9"/>
        <w:jc w:val="both"/>
        <w:rPr>
          <w:rFonts w:asciiTheme="majorHAnsi" w:hAnsiTheme="majorHAnsi" w:cstheme="majorBidi"/>
          <w:color w:val="000000" w:themeColor="text1"/>
        </w:rPr>
      </w:pPr>
      <w:r w:rsidRPr="00455A9F">
        <w:rPr>
          <w:rFonts w:asciiTheme="majorHAnsi" w:hAnsiTheme="majorHAnsi" w:cstheme="majorHAnsi"/>
        </w:rPr>
        <w:t>Monitoring that the supporting documentation is being maintained.</w:t>
      </w:r>
      <w:r w:rsidR="00F55429" w:rsidRPr="00455A9F">
        <w:rPr>
          <w:rFonts w:asciiTheme="majorHAnsi" w:hAnsiTheme="majorHAnsi" w:cstheme="majorHAnsi"/>
        </w:rPr>
        <w:t xml:space="preserve"> </w:t>
      </w:r>
      <w:r w:rsidR="002C4B42" w:rsidRPr="00455A9F">
        <w:rPr>
          <w:rFonts w:asciiTheme="majorHAnsi" w:hAnsiTheme="majorHAnsi" w:cstheme="majorHAnsi"/>
          <w:color w:val="000000" w:themeColor="text1"/>
        </w:rPr>
        <w:t>Attending</w:t>
      </w:r>
      <w:r w:rsidR="002C4B42" w:rsidRPr="00ED5272">
        <w:rPr>
          <w:rFonts w:asciiTheme="majorHAnsi" w:hAnsiTheme="majorHAnsi" w:cstheme="majorBidi"/>
          <w:color w:val="000000" w:themeColor="text1"/>
        </w:rPr>
        <w:t xml:space="preserve"> a sample of monitoring visits</w:t>
      </w:r>
    </w:p>
    <w:p w14:paraId="52B19F3F" w14:textId="77777777" w:rsidR="002C4B42" w:rsidRDefault="002C4B42" w:rsidP="0059178F">
      <w:pPr>
        <w:pStyle w:val="Default"/>
        <w:spacing w:after="9"/>
        <w:jc w:val="both"/>
        <w:rPr>
          <w:rFonts w:asciiTheme="majorHAnsi" w:hAnsiTheme="majorHAnsi" w:cstheme="majorBidi"/>
          <w:color w:val="000000" w:themeColor="text1"/>
        </w:rPr>
      </w:pPr>
    </w:p>
    <w:p w14:paraId="03370BC8" w14:textId="77777777" w:rsidR="00D5654E" w:rsidRPr="004A1115" w:rsidRDefault="00D5654E" w:rsidP="00D5654E">
      <w:pPr>
        <w:pStyle w:val="Heading4"/>
        <w:rPr>
          <w:i w:val="0"/>
          <w:iCs w:val="0"/>
        </w:rPr>
      </w:pPr>
      <w:r w:rsidRPr="004A1115">
        <w:rPr>
          <w:i w:val="0"/>
          <w:iCs w:val="0"/>
        </w:rPr>
        <w:t>Sampling methodology</w:t>
      </w:r>
    </w:p>
    <w:p w14:paraId="71CBAD9A" w14:textId="0D0D5815" w:rsidR="002C4B42" w:rsidRPr="00A65A0B" w:rsidRDefault="002C4B42" w:rsidP="0059178F">
      <w:pPr>
        <w:pStyle w:val="Default"/>
        <w:spacing w:after="9"/>
        <w:jc w:val="both"/>
        <w:rPr>
          <w:rFonts w:asciiTheme="majorHAnsi" w:hAnsiTheme="majorHAnsi" w:cstheme="majorBidi"/>
          <w:color w:val="auto"/>
        </w:rPr>
      </w:pPr>
      <w:r w:rsidRPr="00A65A0B">
        <w:rPr>
          <w:rFonts w:asciiTheme="majorHAnsi" w:hAnsiTheme="majorHAnsi" w:cstheme="majorBidi"/>
          <w:color w:val="auto"/>
        </w:rPr>
        <w:t xml:space="preserve">For the nonpublic schools, </w:t>
      </w:r>
      <w:r w:rsidR="00D5654E" w:rsidRPr="00A65A0B">
        <w:rPr>
          <w:rFonts w:asciiTheme="majorHAnsi" w:hAnsiTheme="majorHAnsi" w:cstheme="majorBidi"/>
          <w:color w:val="auto"/>
        </w:rPr>
        <w:t xml:space="preserve">PRDE </w:t>
      </w:r>
      <w:r w:rsidR="00FB453B">
        <w:rPr>
          <w:rFonts w:asciiTheme="majorHAnsi" w:hAnsiTheme="majorHAnsi" w:cstheme="majorBidi"/>
          <w:color w:val="auto"/>
        </w:rPr>
        <w:t>established</w:t>
      </w:r>
      <w:r w:rsidRPr="00A65A0B">
        <w:rPr>
          <w:rFonts w:asciiTheme="majorHAnsi" w:hAnsiTheme="majorHAnsi" w:cstheme="majorBidi"/>
          <w:color w:val="auto"/>
        </w:rPr>
        <w:t xml:space="preserve"> the </w:t>
      </w:r>
      <w:r w:rsidR="002C0E6B" w:rsidRPr="00A65A0B">
        <w:rPr>
          <w:rFonts w:asciiTheme="majorHAnsi" w:hAnsiTheme="majorHAnsi" w:cstheme="majorBidi"/>
          <w:color w:val="auto"/>
        </w:rPr>
        <w:t xml:space="preserve">representative </w:t>
      </w:r>
      <w:r w:rsidR="00F55429" w:rsidRPr="00A65A0B">
        <w:rPr>
          <w:rFonts w:asciiTheme="majorHAnsi" w:hAnsiTheme="majorHAnsi" w:cstheme="majorBidi"/>
          <w:color w:val="auto"/>
        </w:rPr>
        <w:t>sample,</w:t>
      </w:r>
      <w:r w:rsidRPr="00A65A0B">
        <w:rPr>
          <w:rFonts w:asciiTheme="majorHAnsi" w:hAnsiTheme="majorHAnsi" w:cstheme="majorBidi"/>
          <w:color w:val="auto"/>
        </w:rPr>
        <w:t xml:space="preserve"> and </w:t>
      </w:r>
      <w:r w:rsidR="00FB453B">
        <w:rPr>
          <w:rFonts w:asciiTheme="majorHAnsi" w:hAnsiTheme="majorHAnsi" w:cstheme="majorBidi"/>
          <w:color w:val="auto"/>
        </w:rPr>
        <w:t xml:space="preserve">the external vendor </w:t>
      </w:r>
      <w:r w:rsidRPr="00A65A0B">
        <w:rPr>
          <w:rFonts w:asciiTheme="majorHAnsi" w:hAnsiTheme="majorHAnsi" w:cstheme="majorBidi"/>
          <w:color w:val="auto"/>
        </w:rPr>
        <w:t>develop</w:t>
      </w:r>
      <w:r w:rsidR="002C0E6B" w:rsidRPr="00A65A0B">
        <w:rPr>
          <w:rFonts w:asciiTheme="majorHAnsi" w:hAnsiTheme="majorHAnsi" w:cstheme="majorBidi"/>
          <w:color w:val="auto"/>
        </w:rPr>
        <w:t>ed</w:t>
      </w:r>
      <w:r w:rsidRPr="00A65A0B">
        <w:rPr>
          <w:rFonts w:asciiTheme="majorHAnsi" w:hAnsiTheme="majorHAnsi" w:cstheme="majorBidi"/>
          <w:color w:val="auto"/>
        </w:rPr>
        <w:t xml:space="preserve"> the instruments.  </w:t>
      </w:r>
      <w:r w:rsidR="002C0E6B" w:rsidRPr="00A65A0B">
        <w:rPr>
          <w:rFonts w:asciiTheme="majorHAnsi" w:hAnsiTheme="majorHAnsi" w:cstheme="majorBidi"/>
          <w:color w:val="auto"/>
        </w:rPr>
        <w:t>T</w:t>
      </w:r>
      <w:r w:rsidRPr="00A65A0B">
        <w:rPr>
          <w:rFonts w:asciiTheme="majorHAnsi" w:hAnsiTheme="majorHAnsi" w:cstheme="majorBidi"/>
          <w:color w:val="auto"/>
        </w:rPr>
        <w:t xml:space="preserve">he use of statistical sampling approaches generally results in stronger evidence than that obtained from nonstatistical techniques.  To determine the sample size, the program uses judgment to determine three factors:  the confidence level, the tolerable rate (maximum rate of </w:t>
      </w:r>
      <w:r w:rsidRPr="00A65A0B">
        <w:rPr>
          <w:rFonts w:asciiTheme="majorHAnsi" w:hAnsiTheme="majorHAnsi" w:cstheme="majorBidi"/>
          <w:color w:val="auto"/>
        </w:rPr>
        <w:lastRenderedPageBreak/>
        <w:t>deviations from the prescribed control that the auditor</w:t>
      </w:r>
      <w:r w:rsidR="009458E8">
        <w:rPr>
          <w:rFonts w:asciiTheme="majorHAnsi" w:hAnsiTheme="majorHAnsi" w:cstheme="majorBidi"/>
          <w:color w:val="auto"/>
        </w:rPr>
        <w:t>/monitor</w:t>
      </w:r>
      <w:r w:rsidRPr="00A65A0B">
        <w:rPr>
          <w:rFonts w:asciiTheme="majorHAnsi" w:hAnsiTheme="majorHAnsi" w:cstheme="majorBidi"/>
          <w:color w:val="auto"/>
        </w:rPr>
        <w:t xml:space="preserve"> is willing to accept without altering the preliminary assessment of control effectiveness), and the expected population deviation rate (expected error rate).  Once the </w:t>
      </w:r>
      <w:r w:rsidR="002C0E6B" w:rsidRPr="00A65A0B">
        <w:rPr>
          <w:rFonts w:asciiTheme="majorHAnsi" w:hAnsiTheme="majorHAnsi" w:cstheme="majorBidi"/>
          <w:color w:val="auto"/>
        </w:rPr>
        <w:t>officer</w:t>
      </w:r>
      <w:r w:rsidRPr="00A65A0B">
        <w:rPr>
          <w:rFonts w:asciiTheme="majorHAnsi" w:hAnsiTheme="majorHAnsi" w:cstheme="majorBidi"/>
          <w:color w:val="auto"/>
        </w:rPr>
        <w:t xml:space="preserve"> </w:t>
      </w:r>
      <w:r w:rsidR="00FB453B">
        <w:rPr>
          <w:rFonts w:asciiTheme="majorHAnsi" w:hAnsiTheme="majorHAnsi" w:cstheme="majorBidi"/>
          <w:color w:val="auto"/>
        </w:rPr>
        <w:t>used</w:t>
      </w:r>
      <w:r w:rsidRPr="00A65A0B">
        <w:rPr>
          <w:rFonts w:asciiTheme="majorHAnsi" w:hAnsiTheme="majorHAnsi" w:cstheme="majorBidi"/>
          <w:color w:val="auto"/>
        </w:rPr>
        <w:t xml:space="preserve"> software (such as EXCEL or SPSS) tables to determine sample size and to determine how many deviations the </w:t>
      </w:r>
      <w:r w:rsidR="00FB453B">
        <w:rPr>
          <w:rFonts w:asciiTheme="majorHAnsi" w:hAnsiTheme="majorHAnsi" w:cstheme="majorBidi"/>
          <w:color w:val="auto"/>
        </w:rPr>
        <w:t>monitor</w:t>
      </w:r>
      <w:r w:rsidR="00FB453B" w:rsidRPr="00A65A0B">
        <w:rPr>
          <w:rFonts w:asciiTheme="majorHAnsi" w:hAnsiTheme="majorHAnsi" w:cstheme="majorBidi"/>
          <w:color w:val="auto"/>
        </w:rPr>
        <w:t xml:space="preserve"> </w:t>
      </w:r>
      <w:r w:rsidRPr="00A65A0B">
        <w:rPr>
          <w:rFonts w:asciiTheme="majorHAnsi" w:hAnsiTheme="majorHAnsi" w:cstheme="majorBidi"/>
          <w:color w:val="auto"/>
        </w:rPr>
        <w:t>may find without having to change the control risk assessment.</w:t>
      </w:r>
    </w:p>
    <w:p w14:paraId="2DCFE4C2" w14:textId="77777777" w:rsidR="002C4B42" w:rsidRPr="00ED5272" w:rsidRDefault="002C4B42" w:rsidP="0059178F">
      <w:pPr>
        <w:pStyle w:val="Default"/>
        <w:spacing w:after="9"/>
        <w:jc w:val="both"/>
        <w:rPr>
          <w:rFonts w:asciiTheme="majorHAnsi" w:hAnsiTheme="majorHAnsi" w:cstheme="majorBidi"/>
          <w:color w:val="000000" w:themeColor="text1"/>
        </w:rPr>
      </w:pPr>
    </w:p>
    <w:p w14:paraId="1B87C1F7" w14:textId="77777777" w:rsidR="000C24C3" w:rsidRPr="004A1115" w:rsidRDefault="000C24C3" w:rsidP="000C24C3">
      <w:pPr>
        <w:pStyle w:val="Heading4"/>
        <w:rPr>
          <w:i w:val="0"/>
          <w:iCs w:val="0"/>
        </w:rPr>
      </w:pPr>
      <w:r w:rsidRPr="004A1115">
        <w:rPr>
          <w:i w:val="0"/>
          <w:iCs w:val="0"/>
        </w:rPr>
        <w:t>General monitoring process</w:t>
      </w:r>
    </w:p>
    <w:p w14:paraId="4228F241" w14:textId="5395F871" w:rsidR="002C4B42" w:rsidRPr="00A65A0B" w:rsidRDefault="002C4B42" w:rsidP="000C24C3">
      <w:pPr>
        <w:pStyle w:val="Default"/>
        <w:shd w:val="clear" w:color="auto" w:fill="FFFFFF" w:themeFill="background1"/>
        <w:spacing w:after="9"/>
        <w:jc w:val="both"/>
        <w:rPr>
          <w:rFonts w:asciiTheme="majorHAnsi" w:hAnsiTheme="majorHAnsi" w:cstheme="majorBidi"/>
          <w:color w:val="auto"/>
        </w:rPr>
      </w:pPr>
      <w:r w:rsidRPr="00A65A0B">
        <w:rPr>
          <w:rFonts w:asciiTheme="majorHAnsi" w:hAnsiTheme="majorHAnsi" w:cstheme="majorBidi"/>
          <w:color w:val="auto"/>
        </w:rPr>
        <w:t xml:space="preserve">PRDE’s monitoring process consists of two major </w:t>
      </w:r>
      <w:r w:rsidR="00BE6E8E" w:rsidRPr="00A65A0B">
        <w:rPr>
          <w:rFonts w:asciiTheme="majorHAnsi" w:hAnsiTheme="majorHAnsi" w:cstheme="majorBidi"/>
          <w:color w:val="auto"/>
        </w:rPr>
        <w:t>components</w:t>
      </w:r>
      <w:r w:rsidR="00BE6E8E">
        <w:rPr>
          <w:rFonts w:asciiTheme="majorHAnsi" w:hAnsiTheme="majorHAnsi" w:cstheme="majorBidi"/>
          <w:color w:val="auto"/>
        </w:rPr>
        <w:t>:</w:t>
      </w:r>
      <w:r w:rsidR="00BB5D20">
        <w:rPr>
          <w:rFonts w:asciiTheme="majorHAnsi" w:hAnsiTheme="majorHAnsi" w:cstheme="majorBidi"/>
          <w:color w:val="auto"/>
        </w:rPr>
        <w:t xml:space="preserve"> </w:t>
      </w:r>
      <w:r w:rsidRPr="00A65A0B">
        <w:rPr>
          <w:rFonts w:asciiTheme="majorHAnsi" w:hAnsiTheme="majorHAnsi" w:cstheme="majorBidi"/>
          <w:color w:val="auto"/>
        </w:rPr>
        <w:t>desk and on-site reviews</w:t>
      </w:r>
      <w:r w:rsidR="00197D1E">
        <w:rPr>
          <w:rFonts w:asciiTheme="majorHAnsi" w:hAnsiTheme="majorHAnsi" w:cstheme="majorBidi"/>
          <w:color w:val="auto"/>
        </w:rPr>
        <w:t>.</w:t>
      </w:r>
      <w:r w:rsidRPr="00A65A0B">
        <w:rPr>
          <w:rFonts w:asciiTheme="majorHAnsi" w:hAnsiTheme="majorHAnsi" w:cstheme="majorBidi"/>
          <w:color w:val="auto"/>
        </w:rPr>
        <w:t xml:space="preserve"> The data </w:t>
      </w:r>
      <w:r w:rsidR="0092774C">
        <w:rPr>
          <w:rFonts w:asciiTheme="majorHAnsi" w:hAnsiTheme="majorHAnsi" w:cstheme="majorBidi"/>
          <w:color w:val="auto"/>
        </w:rPr>
        <w:t xml:space="preserve">is collected </w:t>
      </w:r>
      <w:r w:rsidRPr="00A65A0B">
        <w:rPr>
          <w:rFonts w:asciiTheme="majorHAnsi" w:hAnsiTheme="majorHAnsi" w:cstheme="majorBidi"/>
          <w:color w:val="auto"/>
        </w:rPr>
        <w:t xml:space="preserve">during the desk and/or on-site reviews to determine compliance with the monitoring indicators. </w:t>
      </w:r>
      <w:r w:rsidR="00DA1860" w:rsidRPr="00A65A0B">
        <w:rPr>
          <w:rFonts w:asciiTheme="majorHAnsi" w:hAnsiTheme="majorHAnsi" w:cstheme="majorBidi"/>
          <w:color w:val="auto"/>
        </w:rPr>
        <w:t>Desk</w:t>
      </w:r>
      <w:r w:rsidR="00197D1E">
        <w:rPr>
          <w:rFonts w:asciiTheme="majorHAnsi" w:hAnsiTheme="majorHAnsi" w:cstheme="majorBidi"/>
          <w:color w:val="auto"/>
        </w:rPr>
        <w:t xml:space="preserve"> </w:t>
      </w:r>
      <w:r w:rsidR="00DA1860" w:rsidRPr="00A65A0B">
        <w:rPr>
          <w:rFonts w:asciiTheme="majorHAnsi" w:hAnsiTheme="majorHAnsi" w:cstheme="majorBidi"/>
          <w:color w:val="auto"/>
        </w:rPr>
        <w:t>review</w:t>
      </w:r>
      <w:r w:rsidR="00197D1E">
        <w:rPr>
          <w:rFonts w:asciiTheme="majorHAnsi" w:hAnsiTheme="majorHAnsi" w:cstheme="majorBidi"/>
          <w:color w:val="auto"/>
        </w:rPr>
        <w:t>s</w:t>
      </w:r>
      <w:r w:rsidR="00DA1860" w:rsidRPr="00A65A0B">
        <w:rPr>
          <w:rFonts w:asciiTheme="majorHAnsi" w:hAnsiTheme="majorHAnsi" w:cstheme="majorBidi"/>
          <w:color w:val="auto"/>
        </w:rPr>
        <w:t xml:space="preserve"> include documents in the </w:t>
      </w:r>
      <w:r w:rsidR="002D0B82" w:rsidRPr="00A65A0B">
        <w:rPr>
          <w:rFonts w:asciiTheme="majorHAnsi" w:hAnsiTheme="majorHAnsi" w:cstheme="majorBidi"/>
          <w:color w:val="auto"/>
        </w:rPr>
        <w:t xml:space="preserve">PRDE </w:t>
      </w:r>
      <w:r w:rsidR="00A26D1E" w:rsidRPr="00A65A0B">
        <w:rPr>
          <w:rFonts w:asciiTheme="majorHAnsi" w:hAnsiTheme="majorHAnsi" w:cstheme="majorBidi"/>
          <w:color w:val="auto"/>
        </w:rPr>
        <w:t>one drive storage system</w:t>
      </w:r>
      <w:r w:rsidR="0092774C">
        <w:rPr>
          <w:rFonts w:asciiTheme="majorHAnsi" w:hAnsiTheme="majorHAnsi" w:cstheme="majorBidi"/>
          <w:color w:val="auto"/>
        </w:rPr>
        <w:t>, finance system and program files</w:t>
      </w:r>
      <w:r w:rsidR="00A26D1E" w:rsidRPr="00A65A0B">
        <w:rPr>
          <w:rFonts w:asciiTheme="majorHAnsi" w:hAnsiTheme="majorHAnsi" w:cstheme="majorBidi"/>
          <w:color w:val="auto"/>
        </w:rPr>
        <w:t>.</w:t>
      </w:r>
    </w:p>
    <w:p w14:paraId="37E27311" w14:textId="77777777" w:rsidR="002C4B42" w:rsidRPr="00ED5272" w:rsidRDefault="002C4B42" w:rsidP="0059178F">
      <w:pPr>
        <w:pStyle w:val="Default"/>
        <w:spacing w:after="9"/>
        <w:jc w:val="both"/>
        <w:rPr>
          <w:rFonts w:asciiTheme="majorHAnsi" w:hAnsiTheme="majorHAnsi" w:cstheme="majorBidi"/>
          <w:color w:val="000000" w:themeColor="text1"/>
        </w:rPr>
      </w:pPr>
    </w:p>
    <w:p w14:paraId="056529A6" w14:textId="4072D6BB" w:rsidR="002C4B42" w:rsidRPr="00ED5272" w:rsidRDefault="002C4B42" w:rsidP="0059178F">
      <w:pPr>
        <w:pStyle w:val="Default"/>
        <w:spacing w:after="9"/>
        <w:jc w:val="both"/>
        <w:rPr>
          <w:rFonts w:asciiTheme="majorHAnsi" w:hAnsiTheme="majorHAnsi" w:cstheme="majorBidi"/>
          <w:color w:val="000000" w:themeColor="text1"/>
        </w:rPr>
      </w:pPr>
      <w:r w:rsidRPr="00ED5272">
        <w:rPr>
          <w:rFonts w:asciiTheme="majorHAnsi" w:hAnsiTheme="majorHAnsi" w:cstheme="majorBidi"/>
          <w:color w:val="000000" w:themeColor="text1"/>
        </w:rPr>
        <w:t>Each school</w:t>
      </w:r>
      <w:r w:rsidR="000C24C3">
        <w:rPr>
          <w:rFonts w:asciiTheme="majorHAnsi" w:hAnsiTheme="majorHAnsi" w:cstheme="majorBidi"/>
          <w:color w:val="000000" w:themeColor="text1"/>
        </w:rPr>
        <w:t>/initiative</w:t>
      </w:r>
      <w:r w:rsidR="0092774C">
        <w:rPr>
          <w:rFonts w:asciiTheme="majorHAnsi" w:hAnsiTheme="majorHAnsi" w:cstheme="majorBidi"/>
          <w:color w:val="000000" w:themeColor="text1"/>
        </w:rPr>
        <w:t xml:space="preserve"> lead/</w:t>
      </w:r>
      <w:r w:rsidRPr="00ED5272">
        <w:rPr>
          <w:rFonts w:asciiTheme="majorHAnsi" w:hAnsiTheme="majorHAnsi" w:cstheme="majorBidi"/>
          <w:color w:val="000000" w:themeColor="text1"/>
        </w:rPr>
        <w:t xml:space="preserve"> selected for desk or on-site review receives the following items:</w:t>
      </w:r>
    </w:p>
    <w:p w14:paraId="14FB69F3" w14:textId="78D49C9D" w:rsidR="002C4B42" w:rsidRPr="00ED5272" w:rsidRDefault="002C4B42" w:rsidP="00342E9E">
      <w:pPr>
        <w:pStyle w:val="Default"/>
        <w:numPr>
          <w:ilvl w:val="0"/>
          <w:numId w:val="13"/>
        </w:numPr>
        <w:spacing w:after="9"/>
        <w:jc w:val="both"/>
        <w:rPr>
          <w:rFonts w:asciiTheme="majorHAnsi" w:hAnsiTheme="majorHAnsi" w:cstheme="majorBidi"/>
          <w:color w:val="000000" w:themeColor="text1"/>
        </w:rPr>
      </w:pPr>
      <w:r w:rsidRPr="00ED5272">
        <w:rPr>
          <w:rFonts w:asciiTheme="majorHAnsi" w:hAnsiTheme="majorHAnsi" w:cstheme="majorBidi"/>
          <w:color w:val="000000" w:themeColor="text1"/>
        </w:rPr>
        <w:t>Initial monitoring notification letter</w:t>
      </w:r>
      <w:r w:rsidR="0092774C">
        <w:rPr>
          <w:rFonts w:asciiTheme="majorHAnsi" w:hAnsiTheme="majorHAnsi" w:cstheme="majorBidi"/>
          <w:color w:val="000000" w:themeColor="text1"/>
        </w:rPr>
        <w:t>/communication</w:t>
      </w:r>
    </w:p>
    <w:p w14:paraId="0C1C3BF0" w14:textId="10A48C8B" w:rsidR="002C4B42" w:rsidRPr="00ED5272" w:rsidRDefault="002C4B42" w:rsidP="00342E9E">
      <w:pPr>
        <w:pStyle w:val="Default"/>
        <w:numPr>
          <w:ilvl w:val="0"/>
          <w:numId w:val="13"/>
        </w:numPr>
        <w:spacing w:after="9"/>
        <w:jc w:val="both"/>
        <w:rPr>
          <w:rFonts w:asciiTheme="majorHAnsi" w:hAnsiTheme="majorHAnsi" w:cstheme="majorBidi"/>
          <w:color w:val="000000" w:themeColor="text1"/>
        </w:rPr>
      </w:pPr>
      <w:r w:rsidRPr="00ED5272">
        <w:rPr>
          <w:rFonts w:asciiTheme="majorHAnsi" w:hAnsiTheme="majorHAnsi" w:cstheme="majorBidi"/>
          <w:color w:val="000000" w:themeColor="text1"/>
        </w:rPr>
        <w:t xml:space="preserve">Monitoring tool containing required documentation checklist </w:t>
      </w:r>
    </w:p>
    <w:p w14:paraId="3234238E" w14:textId="13B06459" w:rsidR="002C4B42" w:rsidRPr="00ED5272" w:rsidRDefault="0092774C" w:rsidP="00342E9E">
      <w:pPr>
        <w:pStyle w:val="Default"/>
        <w:numPr>
          <w:ilvl w:val="0"/>
          <w:numId w:val="13"/>
        </w:numPr>
        <w:spacing w:after="9"/>
        <w:jc w:val="both"/>
        <w:rPr>
          <w:rFonts w:asciiTheme="majorHAnsi" w:hAnsiTheme="majorHAnsi" w:cstheme="majorBidi"/>
          <w:color w:val="000000" w:themeColor="text1"/>
        </w:rPr>
      </w:pPr>
      <w:r>
        <w:rPr>
          <w:rFonts w:asciiTheme="majorHAnsi" w:hAnsiTheme="majorHAnsi" w:cstheme="majorBidi"/>
          <w:color w:val="000000" w:themeColor="text1"/>
        </w:rPr>
        <w:t>In the case of non-public schools’ desk review, PRDE and the external vendor are continuously communicating to proceed to next steps</w:t>
      </w:r>
    </w:p>
    <w:p w14:paraId="1544CF5D" w14:textId="77777777" w:rsidR="002C4B42" w:rsidRPr="00ED5272" w:rsidRDefault="002C4B42" w:rsidP="0059178F">
      <w:pPr>
        <w:pStyle w:val="Default"/>
        <w:spacing w:after="9"/>
        <w:jc w:val="both"/>
        <w:rPr>
          <w:rFonts w:asciiTheme="majorHAnsi" w:hAnsiTheme="majorHAnsi" w:cstheme="majorBidi"/>
          <w:color w:val="000000" w:themeColor="text1"/>
        </w:rPr>
      </w:pPr>
    </w:p>
    <w:p w14:paraId="0BD3CEEC" w14:textId="1198785C" w:rsidR="002C4B42" w:rsidRPr="00ED5272" w:rsidRDefault="002C4B42" w:rsidP="0059178F">
      <w:pPr>
        <w:pStyle w:val="Default"/>
        <w:spacing w:after="9"/>
        <w:jc w:val="both"/>
        <w:rPr>
          <w:rFonts w:asciiTheme="majorHAnsi" w:hAnsiTheme="majorHAnsi" w:cstheme="majorBidi"/>
          <w:color w:val="000000" w:themeColor="text1"/>
        </w:rPr>
      </w:pPr>
      <w:r w:rsidRPr="00ED5272">
        <w:rPr>
          <w:rFonts w:asciiTheme="majorHAnsi" w:hAnsiTheme="majorHAnsi" w:cstheme="majorBidi"/>
          <w:color w:val="000000" w:themeColor="text1"/>
        </w:rPr>
        <w:t>Desk reviews include an examination of specific program compliance. In conducting the desk review, the school</w:t>
      </w:r>
      <w:r w:rsidR="00724E09">
        <w:rPr>
          <w:rFonts w:asciiTheme="majorHAnsi" w:hAnsiTheme="majorHAnsi" w:cstheme="majorBidi"/>
          <w:color w:val="000000" w:themeColor="text1"/>
        </w:rPr>
        <w:t>, office</w:t>
      </w:r>
      <w:r w:rsidR="00BC0D0C">
        <w:rPr>
          <w:rFonts w:asciiTheme="majorHAnsi" w:hAnsiTheme="majorHAnsi" w:cstheme="majorBidi"/>
          <w:color w:val="000000" w:themeColor="text1"/>
        </w:rPr>
        <w:t xml:space="preserve"> or initiative </w:t>
      </w:r>
      <w:r w:rsidR="0092774C">
        <w:rPr>
          <w:rFonts w:asciiTheme="majorHAnsi" w:hAnsiTheme="majorHAnsi" w:cstheme="majorBidi"/>
          <w:color w:val="000000" w:themeColor="text1"/>
        </w:rPr>
        <w:t>lead</w:t>
      </w:r>
      <w:r w:rsidR="00724E09">
        <w:rPr>
          <w:rFonts w:asciiTheme="majorHAnsi" w:hAnsiTheme="majorHAnsi" w:cstheme="majorBidi"/>
          <w:color w:val="000000" w:themeColor="text1"/>
        </w:rPr>
        <w:t xml:space="preserve"> </w:t>
      </w:r>
      <w:r w:rsidRPr="00ED5272">
        <w:rPr>
          <w:rFonts w:asciiTheme="majorHAnsi" w:hAnsiTheme="majorHAnsi" w:cstheme="majorBidi"/>
          <w:color w:val="000000" w:themeColor="text1"/>
        </w:rPr>
        <w:t xml:space="preserve">is required to collect, organize and submit monitoring documents to the </w:t>
      </w:r>
      <w:r w:rsidR="000E345F">
        <w:rPr>
          <w:rFonts w:asciiTheme="majorHAnsi" w:hAnsiTheme="majorHAnsi" w:cstheme="majorBidi"/>
          <w:color w:val="000000" w:themeColor="text1"/>
        </w:rPr>
        <w:t>Restart office</w:t>
      </w:r>
      <w:r w:rsidR="0092774C">
        <w:rPr>
          <w:rFonts w:asciiTheme="majorHAnsi" w:hAnsiTheme="majorHAnsi" w:cstheme="majorBidi"/>
          <w:color w:val="000000" w:themeColor="text1"/>
        </w:rPr>
        <w:t xml:space="preserve">. </w:t>
      </w:r>
      <w:r w:rsidR="00FB453B">
        <w:rPr>
          <w:rFonts w:asciiTheme="majorHAnsi" w:hAnsiTheme="majorHAnsi" w:cstheme="majorBidi"/>
          <w:color w:val="000000" w:themeColor="text1"/>
        </w:rPr>
        <w:t>In the case of non-public</w:t>
      </w:r>
      <w:r w:rsidR="00FB23FD">
        <w:rPr>
          <w:rFonts w:asciiTheme="majorHAnsi" w:hAnsiTheme="majorHAnsi" w:cstheme="majorBidi"/>
          <w:color w:val="000000" w:themeColor="text1"/>
        </w:rPr>
        <w:t xml:space="preserve"> schools</w:t>
      </w:r>
      <w:r w:rsidR="00FB453B">
        <w:rPr>
          <w:rFonts w:asciiTheme="majorHAnsi" w:hAnsiTheme="majorHAnsi" w:cstheme="majorBidi"/>
          <w:color w:val="000000" w:themeColor="text1"/>
        </w:rPr>
        <w:t xml:space="preserve">, PRDE created a file for each school </w:t>
      </w:r>
      <w:r w:rsidR="00FB23FD">
        <w:rPr>
          <w:rFonts w:asciiTheme="majorHAnsi" w:hAnsiTheme="majorHAnsi" w:cstheme="majorBidi"/>
          <w:color w:val="000000" w:themeColor="text1"/>
        </w:rPr>
        <w:t>which includes</w:t>
      </w:r>
      <w:r w:rsidR="00F9484A">
        <w:rPr>
          <w:rFonts w:asciiTheme="majorHAnsi" w:hAnsiTheme="majorHAnsi" w:cstheme="majorBidi"/>
          <w:color w:val="000000" w:themeColor="text1"/>
        </w:rPr>
        <w:t xml:space="preserve"> </w:t>
      </w:r>
      <w:r w:rsidR="00FB453B">
        <w:rPr>
          <w:rFonts w:asciiTheme="majorHAnsi" w:hAnsiTheme="majorHAnsi" w:cstheme="majorBidi"/>
          <w:color w:val="000000" w:themeColor="text1"/>
        </w:rPr>
        <w:t>supporting documentation</w:t>
      </w:r>
      <w:r w:rsidR="00882E70">
        <w:rPr>
          <w:rFonts w:asciiTheme="majorHAnsi" w:hAnsiTheme="majorHAnsi" w:cstheme="majorBidi"/>
          <w:color w:val="000000" w:themeColor="text1"/>
        </w:rPr>
        <w:t>. The desk analysis can commence upon receipt</w:t>
      </w:r>
      <w:r w:rsidR="004641DF">
        <w:rPr>
          <w:rFonts w:asciiTheme="majorHAnsi" w:hAnsiTheme="majorHAnsi" w:cstheme="majorBidi"/>
          <w:color w:val="000000" w:themeColor="text1"/>
        </w:rPr>
        <w:t xml:space="preserve"> </w:t>
      </w:r>
      <w:r w:rsidR="00882E70">
        <w:rPr>
          <w:rFonts w:asciiTheme="majorHAnsi" w:hAnsiTheme="majorHAnsi" w:cstheme="majorBidi"/>
          <w:color w:val="000000" w:themeColor="text1"/>
        </w:rPr>
        <w:t xml:space="preserve">of electronic copies </w:t>
      </w:r>
      <w:r w:rsidR="004641DF">
        <w:rPr>
          <w:rFonts w:asciiTheme="majorHAnsi" w:hAnsiTheme="majorHAnsi" w:cstheme="majorBidi"/>
          <w:color w:val="000000" w:themeColor="text1"/>
        </w:rPr>
        <w:t xml:space="preserve">of the supporting documentation along with </w:t>
      </w:r>
      <w:r w:rsidR="00C4185F">
        <w:rPr>
          <w:rFonts w:asciiTheme="majorHAnsi" w:hAnsiTheme="majorHAnsi" w:cstheme="majorBidi"/>
          <w:color w:val="000000" w:themeColor="text1"/>
        </w:rPr>
        <w:t>records that may appear in PRDE’s financial system (</w:t>
      </w:r>
      <w:r w:rsidR="00BF1BAC">
        <w:rPr>
          <w:rFonts w:asciiTheme="majorHAnsi" w:hAnsiTheme="majorHAnsi" w:cstheme="majorBidi"/>
          <w:color w:val="000000" w:themeColor="text1"/>
        </w:rPr>
        <w:t>SIFDE)</w:t>
      </w:r>
      <w:r w:rsidR="0092774C">
        <w:rPr>
          <w:rFonts w:asciiTheme="majorHAnsi" w:hAnsiTheme="majorHAnsi" w:cstheme="majorBidi"/>
          <w:color w:val="000000" w:themeColor="text1"/>
        </w:rPr>
        <w:t xml:space="preserve">, and any other documentation requested by the monitors. </w:t>
      </w:r>
    </w:p>
    <w:p w14:paraId="57B5E6AF" w14:textId="77777777" w:rsidR="002C4B42" w:rsidRPr="00ED5272" w:rsidRDefault="002C4B42" w:rsidP="0059178F">
      <w:pPr>
        <w:pStyle w:val="Default"/>
        <w:spacing w:after="9"/>
        <w:jc w:val="both"/>
        <w:rPr>
          <w:rFonts w:asciiTheme="majorHAnsi" w:hAnsiTheme="majorHAnsi" w:cstheme="majorBidi"/>
          <w:color w:val="000000" w:themeColor="text1"/>
        </w:rPr>
      </w:pPr>
    </w:p>
    <w:p w14:paraId="58566D46" w14:textId="7D10DE63" w:rsidR="0092774C" w:rsidRDefault="0092774C" w:rsidP="0059178F">
      <w:pPr>
        <w:pStyle w:val="Default"/>
        <w:spacing w:after="9"/>
        <w:jc w:val="both"/>
        <w:rPr>
          <w:rFonts w:asciiTheme="majorHAnsi" w:hAnsiTheme="majorHAnsi" w:cstheme="majorBidi"/>
          <w:color w:val="000000" w:themeColor="text1"/>
        </w:rPr>
      </w:pPr>
      <w:r>
        <w:rPr>
          <w:rFonts w:asciiTheme="majorHAnsi" w:hAnsiTheme="majorHAnsi" w:cstheme="majorBidi"/>
          <w:color w:val="000000" w:themeColor="text1"/>
        </w:rPr>
        <w:t>The monitor</w:t>
      </w:r>
      <w:r w:rsidR="002C4B42" w:rsidRPr="00ED5272">
        <w:rPr>
          <w:rFonts w:asciiTheme="majorHAnsi" w:hAnsiTheme="majorHAnsi" w:cstheme="majorBidi"/>
          <w:color w:val="000000" w:themeColor="text1"/>
        </w:rPr>
        <w:t xml:space="preserve"> performs a detailed </w:t>
      </w:r>
      <w:r w:rsidR="0098552C">
        <w:rPr>
          <w:rFonts w:asciiTheme="majorHAnsi" w:hAnsiTheme="majorHAnsi" w:cstheme="majorBidi"/>
          <w:color w:val="000000" w:themeColor="text1"/>
        </w:rPr>
        <w:t>analysis of</w:t>
      </w:r>
      <w:r w:rsidR="002C4B42" w:rsidRPr="00ED5272">
        <w:rPr>
          <w:rFonts w:asciiTheme="majorHAnsi" w:hAnsiTheme="majorHAnsi" w:cstheme="majorBidi"/>
          <w:color w:val="000000" w:themeColor="text1"/>
        </w:rPr>
        <w:t xml:space="preserve"> submitted monitoring documents. Documents are </w:t>
      </w:r>
      <w:r w:rsidR="00337FEC">
        <w:rPr>
          <w:rFonts w:asciiTheme="majorHAnsi" w:hAnsiTheme="majorHAnsi" w:cstheme="majorBidi"/>
          <w:color w:val="000000" w:themeColor="text1"/>
        </w:rPr>
        <w:t>analyzed</w:t>
      </w:r>
      <w:r w:rsidR="00337FEC" w:rsidRPr="00ED5272">
        <w:rPr>
          <w:rFonts w:asciiTheme="majorHAnsi" w:hAnsiTheme="majorHAnsi" w:cstheme="majorBidi"/>
          <w:color w:val="000000" w:themeColor="text1"/>
        </w:rPr>
        <w:t xml:space="preserve"> </w:t>
      </w:r>
      <w:r w:rsidR="002C4B42" w:rsidRPr="00ED5272">
        <w:rPr>
          <w:rFonts w:asciiTheme="majorHAnsi" w:hAnsiTheme="majorHAnsi" w:cstheme="majorBidi"/>
          <w:color w:val="000000" w:themeColor="text1"/>
        </w:rPr>
        <w:t xml:space="preserve">in alignment with Restart indicators are the model for accountability and transparency. If monitoring documents are found not to meet standards, some form of corrective action is required. </w:t>
      </w:r>
    </w:p>
    <w:p w14:paraId="6A73AED6" w14:textId="77777777" w:rsidR="0092774C" w:rsidRDefault="0092774C" w:rsidP="0059178F">
      <w:pPr>
        <w:pStyle w:val="Default"/>
        <w:spacing w:after="9"/>
        <w:jc w:val="both"/>
        <w:rPr>
          <w:rFonts w:asciiTheme="majorHAnsi" w:hAnsiTheme="majorHAnsi" w:cstheme="majorBidi"/>
          <w:color w:val="000000" w:themeColor="text1"/>
        </w:rPr>
      </w:pPr>
    </w:p>
    <w:p w14:paraId="52843E62" w14:textId="53F8E363" w:rsidR="0092774C" w:rsidRDefault="002C4B42" w:rsidP="0059178F">
      <w:pPr>
        <w:pStyle w:val="Default"/>
        <w:spacing w:after="9"/>
        <w:jc w:val="both"/>
        <w:rPr>
          <w:rFonts w:asciiTheme="majorHAnsi" w:hAnsiTheme="majorHAnsi" w:cstheme="majorBidi"/>
          <w:color w:val="000000" w:themeColor="text1"/>
        </w:rPr>
      </w:pPr>
      <w:r w:rsidRPr="00ED5272">
        <w:rPr>
          <w:rFonts w:asciiTheme="majorHAnsi" w:hAnsiTheme="majorHAnsi" w:cstheme="majorBidi"/>
          <w:color w:val="000000" w:themeColor="text1"/>
        </w:rPr>
        <w:t xml:space="preserve">In this case, </w:t>
      </w:r>
      <w:r w:rsidR="0092774C" w:rsidRPr="00ED5272">
        <w:rPr>
          <w:rFonts w:asciiTheme="majorHAnsi" w:hAnsiTheme="majorHAnsi" w:cstheme="majorBidi"/>
          <w:color w:val="000000" w:themeColor="text1"/>
        </w:rPr>
        <w:t>school</w:t>
      </w:r>
      <w:r w:rsidR="0092774C">
        <w:rPr>
          <w:rFonts w:asciiTheme="majorHAnsi" w:hAnsiTheme="majorHAnsi" w:cstheme="majorBidi"/>
          <w:color w:val="000000" w:themeColor="text1"/>
        </w:rPr>
        <w:t>/initiative lead/office</w:t>
      </w:r>
      <w:r w:rsidR="0092774C" w:rsidRPr="00ED5272">
        <w:rPr>
          <w:rFonts w:asciiTheme="majorHAnsi" w:hAnsiTheme="majorHAnsi" w:cstheme="majorBidi"/>
          <w:color w:val="000000" w:themeColor="text1"/>
        </w:rPr>
        <w:t xml:space="preserve"> </w:t>
      </w:r>
      <w:r w:rsidRPr="00ED5272">
        <w:rPr>
          <w:rFonts w:asciiTheme="majorHAnsi" w:hAnsiTheme="majorHAnsi" w:cstheme="majorBidi"/>
          <w:color w:val="000000" w:themeColor="text1"/>
        </w:rPr>
        <w:t xml:space="preserve">are informed of the necessary actions they must take, and they are required to submit evidence of compliance according to the established </w:t>
      </w:r>
      <w:r w:rsidR="0092774C">
        <w:rPr>
          <w:rFonts w:asciiTheme="majorHAnsi" w:hAnsiTheme="majorHAnsi" w:cstheme="majorBidi"/>
          <w:color w:val="000000" w:themeColor="text1"/>
        </w:rPr>
        <w:t>communication with</w:t>
      </w:r>
      <w:r w:rsidR="00F9484A">
        <w:rPr>
          <w:rFonts w:asciiTheme="majorHAnsi" w:hAnsiTheme="majorHAnsi" w:cstheme="majorBidi"/>
          <w:color w:val="000000" w:themeColor="text1"/>
        </w:rPr>
        <w:t xml:space="preserve"> </w:t>
      </w:r>
      <w:r w:rsidR="000E345F">
        <w:rPr>
          <w:rFonts w:asciiTheme="majorHAnsi" w:hAnsiTheme="majorHAnsi" w:cstheme="majorBidi"/>
          <w:color w:val="000000" w:themeColor="text1"/>
        </w:rPr>
        <w:t xml:space="preserve">PRDE Restart office </w:t>
      </w:r>
      <w:r w:rsidR="00F55429">
        <w:rPr>
          <w:rFonts w:asciiTheme="majorHAnsi" w:hAnsiTheme="majorHAnsi" w:cstheme="majorBidi"/>
          <w:color w:val="000000" w:themeColor="text1"/>
        </w:rPr>
        <w:t>coordinator</w:t>
      </w:r>
      <w:r w:rsidR="000E345F">
        <w:rPr>
          <w:rFonts w:asciiTheme="majorHAnsi" w:hAnsiTheme="majorHAnsi" w:cstheme="majorBidi"/>
          <w:color w:val="000000" w:themeColor="text1"/>
        </w:rPr>
        <w:t>.</w:t>
      </w:r>
      <w:r w:rsidRPr="00ED5272">
        <w:rPr>
          <w:rFonts w:asciiTheme="majorHAnsi" w:hAnsiTheme="majorHAnsi" w:cstheme="majorBidi"/>
          <w:color w:val="000000" w:themeColor="text1"/>
        </w:rPr>
        <w:t xml:space="preserve"> </w:t>
      </w:r>
    </w:p>
    <w:p w14:paraId="3AC6D46D" w14:textId="77777777" w:rsidR="0092774C" w:rsidRDefault="0092774C" w:rsidP="0059178F">
      <w:pPr>
        <w:pStyle w:val="Default"/>
        <w:spacing w:after="9"/>
        <w:jc w:val="both"/>
        <w:rPr>
          <w:rFonts w:asciiTheme="majorHAnsi" w:hAnsiTheme="majorHAnsi" w:cstheme="majorBidi"/>
          <w:color w:val="000000" w:themeColor="text1"/>
        </w:rPr>
      </w:pPr>
    </w:p>
    <w:p w14:paraId="785FB531" w14:textId="3B68D98C" w:rsidR="002C4B42" w:rsidRPr="00ED5272" w:rsidRDefault="0092774C" w:rsidP="0059178F">
      <w:pPr>
        <w:pStyle w:val="Default"/>
        <w:spacing w:after="9"/>
        <w:jc w:val="both"/>
        <w:rPr>
          <w:rFonts w:asciiTheme="majorHAnsi" w:hAnsiTheme="majorHAnsi" w:cstheme="majorBidi"/>
          <w:color w:val="000000" w:themeColor="text1"/>
        </w:rPr>
      </w:pPr>
      <w:r>
        <w:rPr>
          <w:rFonts w:asciiTheme="majorHAnsi" w:hAnsiTheme="majorHAnsi" w:cstheme="majorBidi"/>
          <w:color w:val="000000" w:themeColor="text1"/>
        </w:rPr>
        <w:t>If requested, t</w:t>
      </w:r>
      <w:r w:rsidR="002C4B42" w:rsidRPr="00ED5272">
        <w:rPr>
          <w:rFonts w:asciiTheme="majorHAnsi" w:hAnsiTheme="majorHAnsi" w:cstheme="majorBidi"/>
          <w:color w:val="000000" w:themeColor="text1"/>
        </w:rPr>
        <w:t xml:space="preserve">echnical assistance is offered </w:t>
      </w:r>
      <w:r>
        <w:rPr>
          <w:rFonts w:asciiTheme="majorHAnsi" w:hAnsiTheme="majorHAnsi" w:cstheme="majorBidi"/>
          <w:color w:val="000000" w:themeColor="text1"/>
        </w:rPr>
        <w:t xml:space="preserve">by the PRDE and/or external monitor, as needed, to the entities being monitored. </w:t>
      </w:r>
      <w:r w:rsidR="00FB453B">
        <w:rPr>
          <w:rFonts w:asciiTheme="majorHAnsi" w:hAnsiTheme="majorHAnsi" w:cstheme="majorBidi"/>
          <w:color w:val="000000" w:themeColor="text1"/>
        </w:rPr>
        <w:t xml:space="preserve">On other cases, PRDE </w:t>
      </w:r>
      <w:r w:rsidR="008762E5">
        <w:rPr>
          <w:rFonts w:asciiTheme="majorHAnsi" w:hAnsiTheme="majorHAnsi" w:cstheme="majorBidi"/>
          <w:color w:val="000000" w:themeColor="text1"/>
        </w:rPr>
        <w:t>Central Level</w:t>
      </w:r>
      <w:r w:rsidR="00FB453B">
        <w:rPr>
          <w:rFonts w:asciiTheme="majorHAnsi" w:hAnsiTheme="majorHAnsi" w:cstheme="majorBidi"/>
          <w:color w:val="000000" w:themeColor="text1"/>
        </w:rPr>
        <w:t xml:space="preserve"> need</w:t>
      </w:r>
      <w:r w:rsidR="008762E5">
        <w:rPr>
          <w:rFonts w:asciiTheme="majorHAnsi" w:hAnsiTheme="majorHAnsi" w:cstheme="majorBidi"/>
          <w:color w:val="000000" w:themeColor="text1"/>
        </w:rPr>
        <w:t>s</w:t>
      </w:r>
      <w:r w:rsidR="00FB453B">
        <w:rPr>
          <w:rFonts w:asciiTheme="majorHAnsi" w:hAnsiTheme="majorHAnsi" w:cstheme="majorBidi"/>
          <w:color w:val="000000" w:themeColor="text1"/>
        </w:rPr>
        <w:t xml:space="preserve"> to compile information and documents to provide to the external monitoring team and reach out to the initiatives</w:t>
      </w:r>
      <w:r w:rsidR="00F9484A">
        <w:rPr>
          <w:rFonts w:asciiTheme="majorHAnsi" w:hAnsiTheme="majorHAnsi" w:cstheme="majorBidi"/>
          <w:color w:val="000000" w:themeColor="text1"/>
        </w:rPr>
        <w:t>’</w:t>
      </w:r>
      <w:r w:rsidR="00FB453B">
        <w:rPr>
          <w:rFonts w:asciiTheme="majorHAnsi" w:hAnsiTheme="majorHAnsi" w:cstheme="majorBidi"/>
          <w:color w:val="000000" w:themeColor="text1"/>
        </w:rPr>
        <w:t xml:space="preserve"> </w:t>
      </w:r>
      <w:r w:rsidR="008762E5">
        <w:rPr>
          <w:rFonts w:asciiTheme="majorHAnsi" w:hAnsiTheme="majorHAnsi" w:cstheme="majorBidi"/>
          <w:color w:val="000000" w:themeColor="text1"/>
        </w:rPr>
        <w:t>leads</w:t>
      </w:r>
      <w:r w:rsidR="00B65F79">
        <w:rPr>
          <w:rFonts w:asciiTheme="majorHAnsi" w:hAnsiTheme="majorHAnsi" w:cstheme="majorBidi"/>
          <w:color w:val="000000" w:themeColor="text1"/>
        </w:rPr>
        <w:t xml:space="preserve"> </w:t>
      </w:r>
      <w:r w:rsidR="006926C2">
        <w:rPr>
          <w:rFonts w:asciiTheme="majorHAnsi" w:hAnsiTheme="majorHAnsi" w:cstheme="majorBidi"/>
          <w:color w:val="000000" w:themeColor="text1"/>
        </w:rPr>
        <w:t xml:space="preserve">for any additional clarification. </w:t>
      </w:r>
    </w:p>
    <w:p w14:paraId="0AB70F0B" w14:textId="77777777" w:rsidR="002C4B42" w:rsidRPr="00ED5272" w:rsidRDefault="002C4B42" w:rsidP="0059178F">
      <w:pPr>
        <w:pStyle w:val="Default"/>
        <w:spacing w:after="9"/>
        <w:jc w:val="both"/>
        <w:rPr>
          <w:rFonts w:asciiTheme="majorHAnsi" w:hAnsiTheme="majorHAnsi" w:cstheme="majorBidi"/>
          <w:color w:val="000000" w:themeColor="text1"/>
        </w:rPr>
      </w:pPr>
    </w:p>
    <w:p w14:paraId="2BC8BE63" w14:textId="4ACA3336" w:rsidR="002C4B42" w:rsidRPr="00ED5272" w:rsidRDefault="0092774C" w:rsidP="0059178F">
      <w:pPr>
        <w:pStyle w:val="Default"/>
        <w:spacing w:after="9"/>
        <w:jc w:val="both"/>
        <w:rPr>
          <w:rFonts w:asciiTheme="majorHAnsi" w:hAnsiTheme="majorHAnsi" w:cstheme="majorBidi"/>
          <w:color w:val="000000" w:themeColor="text1"/>
        </w:rPr>
      </w:pPr>
      <w:r>
        <w:rPr>
          <w:rFonts w:asciiTheme="majorHAnsi" w:hAnsiTheme="majorHAnsi" w:cstheme="majorBidi"/>
          <w:color w:val="000000" w:themeColor="text1"/>
        </w:rPr>
        <w:t xml:space="preserve">The external monitoring team is </w:t>
      </w:r>
      <w:r w:rsidR="002C4B42" w:rsidRPr="00ED5272">
        <w:rPr>
          <w:rFonts w:asciiTheme="majorHAnsi" w:hAnsiTheme="majorHAnsi" w:cstheme="majorBidi"/>
          <w:color w:val="000000" w:themeColor="text1"/>
        </w:rPr>
        <w:t xml:space="preserve">assigned to conduct on-site reviews. The number of </w:t>
      </w:r>
      <w:r>
        <w:rPr>
          <w:rFonts w:asciiTheme="majorHAnsi" w:hAnsiTheme="majorHAnsi" w:cstheme="majorBidi"/>
          <w:color w:val="000000" w:themeColor="text1"/>
        </w:rPr>
        <w:t>resources</w:t>
      </w:r>
      <w:r w:rsidRPr="00ED5272">
        <w:rPr>
          <w:rFonts w:asciiTheme="majorHAnsi" w:hAnsiTheme="majorHAnsi" w:cstheme="majorBidi"/>
          <w:color w:val="000000" w:themeColor="text1"/>
        </w:rPr>
        <w:t xml:space="preserve"> </w:t>
      </w:r>
      <w:r w:rsidR="002C4B42" w:rsidRPr="00ED5272">
        <w:rPr>
          <w:rFonts w:asciiTheme="majorHAnsi" w:hAnsiTheme="majorHAnsi" w:cstheme="majorBidi"/>
          <w:color w:val="000000" w:themeColor="text1"/>
        </w:rPr>
        <w:t>assigned to perform the site visit will vary depending on the size of the school and issues identified</w:t>
      </w:r>
      <w:r w:rsidR="006926C2">
        <w:rPr>
          <w:rFonts w:asciiTheme="majorHAnsi" w:hAnsiTheme="majorHAnsi" w:cstheme="majorBidi"/>
          <w:color w:val="000000" w:themeColor="text1"/>
        </w:rPr>
        <w:t xml:space="preserve"> during the desk ana</w:t>
      </w:r>
      <w:r w:rsidR="000E0EBE">
        <w:rPr>
          <w:rFonts w:asciiTheme="majorHAnsi" w:hAnsiTheme="majorHAnsi" w:cstheme="majorBidi"/>
          <w:color w:val="000000" w:themeColor="text1"/>
        </w:rPr>
        <w:t>lysis</w:t>
      </w:r>
      <w:r w:rsidR="002C4B42" w:rsidRPr="00ED5272">
        <w:rPr>
          <w:rFonts w:asciiTheme="majorHAnsi" w:hAnsiTheme="majorHAnsi" w:cstheme="majorBidi"/>
          <w:color w:val="000000" w:themeColor="text1"/>
        </w:rPr>
        <w:t xml:space="preserve">. On-site monitoring </w:t>
      </w:r>
      <w:r w:rsidR="007F6187">
        <w:rPr>
          <w:rFonts w:asciiTheme="majorHAnsi" w:hAnsiTheme="majorHAnsi" w:cstheme="majorBidi"/>
          <w:color w:val="000000" w:themeColor="text1"/>
        </w:rPr>
        <w:t>might</w:t>
      </w:r>
      <w:r w:rsidR="002C4B42" w:rsidRPr="00ED5272">
        <w:rPr>
          <w:rFonts w:asciiTheme="majorHAnsi" w:hAnsiTheme="majorHAnsi" w:cstheme="majorBidi"/>
          <w:color w:val="000000" w:themeColor="text1"/>
        </w:rPr>
        <w:t xml:space="preserve"> take anywhere from a few hours to multiple days as needed to appropriately monitor and meet all applicable program requirements</w:t>
      </w:r>
      <w:r>
        <w:rPr>
          <w:rFonts w:asciiTheme="majorHAnsi" w:hAnsiTheme="majorHAnsi" w:cstheme="majorBidi"/>
          <w:color w:val="000000" w:themeColor="text1"/>
        </w:rPr>
        <w:t>, in a case-by-case basis</w:t>
      </w:r>
      <w:r w:rsidR="002C4B42" w:rsidRPr="00ED5272">
        <w:rPr>
          <w:rFonts w:asciiTheme="majorHAnsi" w:hAnsiTheme="majorHAnsi" w:cstheme="majorBidi"/>
          <w:color w:val="000000" w:themeColor="text1"/>
        </w:rPr>
        <w:t xml:space="preserve">. To prepare for an on-site review, the school must collect and organize all program specific documentation requested </w:t>
      </w:r>
      <w:r w:rsidR="002C4B42" w:rsidRPr="00ED5272">
        <w:rPr>
          <w:rFonts w:asciiTheme="majorHAnsi" w:hAnsiTheme="majorHAnsi" w:cstheme="majorBidi"/>
          <w:color w:val="000000" w:themeColor="text1"/>
        </w:rPr>
        <w:lastRenderedPageBreak/>
        <w:t>in the monitoring notification letter and ensure that the school principal or authorized representative is available during the monitoring process</w:t>
      </w:r>
      <w:r>
        <w:rPr>
          <w:rFonts w:asciiTheme="majorHAnsi" w:hAnsiTheme="majorHAnsi" w:cstheme="majorBidi"/>
          <w:color w:val="000000" w:themeColor="text1"/>
        </w:rPr>
        <w:t xml:space="preserve"> to clarify any information needed to fasten up the procedure</w:t>
      </w:r>
      <w:r w:rsidR="002C4B42" w:rsidRPr="00ED5272">
        <w:rPr>
          <w:rFonts w:asciiTheme="majorHAnsi" w:hAnsiTheme="majorHAnsi" w:cstheme="majorBidi"/>
          <w:color w:val="000000" w:themeColor="text1"/>
        </w:rPr>
        <w:t>.</w:t>
      </w:r>
    </w:p>
    <w:p w14:paraId="4F3CA7F1" w14:textId="77777777" w:rsidR="002C4B42" w:rsidRPr="00ED5272" w:rsidRDefault="002C4B42" w:rsidP="0059178F">
      <w:pPr>
        <w:pStyle w:val="Default"/>
        <w:spacing w:after="9"/>
        <w:jc w:val="both"/>
        <w:rPr>
          <w:rFonts w:asciiTheme="majorHAnsi" w:hAnsiTheme="majorHAnsi" w:cstheme="majorBidi"/>
          <w:color w:val="000000" w:themeColor="text1"/>
        </w:rPr>
      </w:pPr>
    </w:p>
    <w:p w14:paraId="6503A96E" w14:textId="18406827" w:rsidR="002C4B42" w:rsidRPr="00ED5272" w:rsidRDefault="000B00AA" w:rsidP="0059178F">
      <w:pPr>
        <w:pStyle w:val="Default"/>
        <w:spacing w:after="9"/>
        <w:jc w:val="both"/>
        <w:rPr>
          <w:rFonts w:asciiTheme="majorHAnsi" w:hAnsiTheme="majorHAnsi" w:cstheme="majorBidi"/>
          <w:color w:val="000000" w:themeColor="text1"/>
        </w:rPr>
      </w:pPr>
      <w:r>
        <w:rPr>
          <w:rFonts w:asciiTheme="majorHAnsi" w:hAnsiTheme="majorHAnsi" w:cstheme="majorBidi"/>
          <w:color w:val="000000" w:themeColor="text1"/>
        </w:rPr>
        <w:t xml:space="preserve">The monitor </w:t>
      </w:r>
      <w:r w:rsidR="002C4B42" w:rsidRPr="00ED5272">
        <w:rPr>
          <w:rFonts w:asciiTheme="majorHAnsi" w:hAnsiTheme="majorHAnsi" w:cstheme="majorBidi"/>
          <w:color w:val="000000" w:themeColor="text1"/>
        </w:rPr>
        <w:t xml:space="preserve">will review all appropriate documentation including information requested in the monitoring notification </w:t>
      </w:r>
      <w:r w:rsidR="0079045F" w:rsidRPr="00ED5272">
        <w:rPr>
          <w:rFonts w:asciiTheme="majorHAnsi" w:hAnsiTheme="majorHAnsi" w:cstheme="majorBidi"/>
          <w:color w:val="000000" w:themeColor="text1"/>
        </w:rPr>
        <w:t>letter and</w:t>
      </w:r>
      <w:r w:rsidR="002C4B42" w:rsidRPr="00ED5272">
        <w:rPr>
          <w:rFonts w:asciiTheme="majorHAnsi" w:hAnsiTheme="majorHAnsi" w:cstheme="majorBidi"/>
          <w:color w:val="000000" w:themeColor="text1"/>
        </w:rPr>
        <w:t xml:space="preserve"> may </w:t>
      </w:r>
      <w:r w:rsidR="00034E38">
        <w:rPr>
          <w:rFonts w:asciiTheme="majorHAnsi" w:hAnsiTheme="majorHAnsi" w:cstheme="majorBidi"/>
          <w:color w:val="000000" w:themeColor="text1"/>
        </w:rPr>
        <w:t xml:space="preserve">meet </w:t>
      </w:r>
      <w:r w:rsidR="002C4B42" w:rsidRPr="00ED5272">
        <w:rPr>
          <w:rFonts w:asciiTheme="majorHAnsi" w:hAnsiTheme="majorHAnsi" w:cstheme="majorBidi"/>
          <w:color w:val="000000" w:themeColor="text1"/>
        </w:rPr>
        <w:t xml:space="preserve">school staff, principals, teachers, both individually and in groups, as appropriate. This strategy allows </w:t>
      </w:r>
      <w:r>
        <w:rPr>
          <w:rFonts w:asciiTheme="majorHAnsi" w:hAnsiTheme="majorHAnsi" w:cstheme="majorBidi"/>
          <w:color w:val="000000" w:themeColor="text1"/>
        </w:rPr>
        <w:t>the monitor</w:t>
      </w:r>
      <w:r w:rsidR="002C4B42" w:rsidRPr="00ED5272">
        <w:rPr>
          <w:rFonts w:asciiTheme="majorHAnsi" w:hAnsiTheme="majorHAnsi" w:cstheme="majorBidi"/>
          <w:color w:val="000000" w:themeColor="text1"/>
        </w:rPr>
        <w:t xml:space="preserve"> to gather information from a variety of perspectives and better evaluate the impact of the administration and implementation of the Restart program.</w:t>
      </w:r>
    </w:p>
    <w:p w14:paraId="5887DBD8" w14:textId="77777777" w:rsidR="002C4B42" w:rsidRPr="00ED5272" w:rsidRDefault="002C4B42" w:rsidP="00F55429">
      <w:pPr>
        <w:pStyle w:val="Default"/>
        <w:spacing w:after="9"/>
        <w:jc w:val="both"/>
        <w:rPr>
          <w:rFonts w:asciiTheme="majorHAnsi" w:hAnsiTheme="majorHAnsi" w:cstheme="majorBidi"/>
          <w:color w:val="000000" w:themeColor="text1"/>
        </w:rPr>
      </w:pPr>
    </w:p>
    <w:p w14:paraId="6F09C31C" w14:textId="7FD38991" w:rsidR="002C4B42" w:rsidRPr="00455A9F" w:rsidRDefault="00217764" w:rsidP="00455A9F">
      <w:pPr>
        <w:pStyle w:val="CommentText"/>
        <w:jc w:val="both"/>
        <w:rPr>
          <w:rFonts w:asciiTheme="majorHAnsi" w:hAnsiTheme="majorHAnsi" w:cstheme="majorHAnsi"/>
        </w:rPr>
      </w:pPr>
      <w:r w:rsidRPr="00455A9F">
        <w:rPr>
          <w:rFonts w:asciiTheme="majorHAnsi" w:hAnsiTheme="majorHAnsi" w:cstheme="majorHAnsi"/>
          <w:color w:val="000000" w:themeColor="text1"/>
          <w:sz w:val="24"/>
          <w:szCs w:val="24"/>
        </w:rPr>
        <w:t>The monitor</w:t>
      </w:r>
      <w:r w:rsidR="002C4B42" w:rsidRPr="00455A9F">
        <w:rPr>
          <w:rFonts w:asciiTheme="majorHAnsi" w:hAnsiTheme="majorHAnsi" w:cstheme="majorHAnsi"/>
          <w:color w:val="000000" w:themeColor="text1"/>
          <w:sz w:val="24"/>
          <w:szCs w:val="24"/>
        </w:rPr>
        <w:t xml:space="preserve"> will close with an exit conference to discuss preliminary </w:t>
      </w:r>
      <w:r w:rsidR="00085A33" w:rsidRPr="00455A9F">
        <w:rPr>
          <w:rFonts w:asciiTheme="majorHAnsi" w:hAnsiTheme="majorHAnsi" w:cstheme="majorHAnsi"/>
          <w:color w:val="000000" w:themeColor="text1"/>
          <w:sz w:val="24"/>
          <w:szCs w:val="24"/>
        </w:rPr>
        <w:t>observations.</w:t>
      </w:r>
      <w:r w:rsidR="002C4B42" w:rsidRPr="00455A9F">
        <w:rPr>
          <w:rFonts w:asciiTheme="majorHAnsi" w:hAnsiTheme="majorHAnsi" w:cstheme="majorHAnsi"/>
          <w:color w:val="000000" w:themeColor="text1"/>
          <w:sz w:val="24"/>
          <w:szCs w:val="24"/>
        </w:rPr>
        <w:t xml:space="preserve"> </w:t>
      </w:r>
      <w:r w:rsidR="00126218" w:rsidRPr="00455A9F">
        <w:rPr>
          <w:rFonts w:asciiTheme="majorHAnsi" w:hAnsiTheme="majorHAnsi" w:cstheme="majorHAnsi"/>
          <w:color w:val="000000" w:themeColor="text1"/>
          <w:sz w:val="24"/>
          <w:szCs w:val="24"/>
        </w:rPr>
        <w:t>The monitor</w:t>
      </w:r>
      <w:r w:rsidR="002C4B42" w:rsidRPr="00455A9F">
        <w:rPr>
          <w:rFonts w:asciiTheme="majorHAnsi" w:hAnsiTheme="majorHAnsi" w:cstheme="majorHAnsi"/>
          <w:color w:val="000000" w:themeColor="text1"/>
          <w:sz w:val="24"/>
          <w:szCs w:val="24"/>
        </w:rPr>
        <w:t xml:space="preserve"> will</w:t>
      </w:r>
      <w:r w:rsidR="00F55429" w:rsidRPr="00A954F0">
        <w:rPr>
          <w:rFonts w:asciiTheme="majorHAnsi" w:hAnsiTheme="majorHAnsi" w:cstheme="majorHAnsi"/>
          <w:color w:val="000000" w:themeColor="text1"/>
        </w:rPr>
        <w:t xml:space="preserve"> </w:t>
      </w:r>
      <w:r w:rsidR="002C4B42" w:rsidRPr="00455A9F">
        <w:rPr>
          <w:rFonts w:asciiTheme="majorHAnsi" w:hAnsiTheme="majorHAnsi" w:cstheme="majorHAnsi"/>
          <w:color w:val="000000" w:themeColor="text1"/>
          <w:sz w:val="24"/>
          <w:szCs w:val="24"/>
        </w:rPr>
        <w:t xml:space="preserve">provide a formal monitoring report to the </w:t>
      </w:r>
      <w:r w:rsidR="00575354" w:rsidRPr="00455A9F">
        <w:rPr>
          <w:rFonts w:asciiTheme="majorHAnsi" w:hAnsiTheme="majorHAnsi" w:cstheme="majorHAnsi"/>
          <w:color w:val="000000" w:themeColor="text1"/>
          <w:sz w:val="24"/>
          <w:szCs w:val="24"/>
        </w:rPr>
        <w:t>Restart office</w:t>
      </w:r>
      <w:r w:rsidR="000E345F" w:rsidRPr="00455A9F">
        <w:rPr>
          <w:rFonts w:asciiTheme="majorHAnsi" w:hAnsiTheme="majorHAnsi" w:cstheme="majorHAnsi"/>
          <w:color w:val="000000" w:themeColor="text1"/>
          <w:sz w:val="24"/>
          <w:szCs w:val="24"/>
        </w:rPr>
        <w:t xml:space="preserve"> which will then follow </w:t>
      </w:r>
      <w:r w:rsidR="00575354" w:rsidRPr="00455A9F">
        <w:rPr>
          <w:rFonts w:asciiTheme="majorHAnsi" w:hAnsiTheme="majorHAnsi" w:cstheme="majorHAnsi"/>
          <w:color w:val="000000" w:themeColor="text1"/>
          <w:sz w:val="24"/>
          <w:szCs w:val="24"/>
        </w:rPr>
        <w:t xml:space="preserve">up </w:t>
      </w:r>
      <w:r w:rsidR="0035199C" w:rsidRPr="00455A9F">
        <w:rPr>
          <w:rFonts w:asciiTheme="majorHAnsi" w:hAnsiTheme="majorHAnsi" w:cstheme="majorHAnsi"/>
          <w:color w:val="FF0000"/>
          <w:sz w:val="24"/>
          <w:szCs w:val="24"/>
        </w:rPr>
        <w:t xml:space="preserve">with the </w:t>
      </w:r>
      <w:r w:rsidR="00F55429">
        <w:rPr>
          <w:rFonts w:asciiTheme="majorHAnsi" w:hAnsiTheme="majorHAnsi" w:cstheme="majorHAnsi"/>
          <w:color w:val="FF0000"/>
          <w:sz w:val="24"/>
          <w:szCs w:val="24"/>
        </w:rPr>
        <w:t xml:space="preserve">school/initiative lead/office </w:t>
      </w:r>
      <w:r w:rsidR="000E345F" w:rsidRPr="00455A9F">
        <w:rPr>
          <w:rFonts w:asciiTheme="majorHAnsi" w:hAnsiTheme="majorHAnsi" w:cstheme="majorHAnsi"/>
          <w:sz w:val="24"/>
          <w:szCs w:val="24"/>
        </w:rPr>
        <w:t>to provide</w:t>
      </w:r>
      <w:r w:rsidR="002C4B42" w:rsidRPr="00455A9F">
        <w:rPr>
          <w:rFonts w:asciiTheme="majorHAnsi" w:hAnsiTheme="majorHAnsi" w:cstheme="majorHAnsi"/>
          <w:sz w:val="24"/>
          <w:szCs w:val="24"/>
        </w:rPr>
        <w:t xml:space="preserve"> corrective action requirements.</w:t>
      </w:r>
    </w:p>
    <w:p w14:paraId="648EFA9D" w14:textId="77777777" w:rsidR="002C4B42" w:rsidRPr="00F55429" w:rsidRDefault="002C4B42" w:rsidP="00F55429">
      <w:pPr>
        <w:pStyle w:val="Default"/>
        <w:spacing w:after="9"/>
        <w:jc w:val="both"/>
        <w:rPr>
          <w:rFonts w:asciiTheme="majorHAnsi" w:hAnsiTheme="majorHAnsi" w:cstheme="majorHAnsi"/>
          <w:color w:val="000000" w:themeColor="text1"/>
        </w:rPr>
      </w:pPr>
    </w:p>
    <w:p w14:paraId="5C31332C" w14:textId="385D32D4" w:rsidR="002C4B42" w:rsidRPr="00455A9F" w:rsidRDefault="002C4B42" w:rsidP="00F55429">
      <w:pPr>
        <w:pStyle w:val="Default"/>
        <w:spacing w:after="9"/>
        <w:jc w:val="both"/>
        <w:rPr>
          <w:rFonts w:asciiTheme="majorHAnsi" w:hAnsiTheme="majorHAnsi" w:cstheme="majorHAnsi"/>
          <w:color w:val="000000" w:themeColor="text1"/>
        </w:rPr>
      </w:pPr>
      <w:r w:rsidRPr="00F55429">
        <w:rPr>
          <w:rFonts w:asciiTheme="majorHAnsi" w:hAnsiTheme="majorHAnsi" w:cstheme="majorHAnsi"/>
          <w:color w:val="000000" w:themeColor="text1"/>
        </w:rPr>
        <w:t xml:space="preserve">The </w:t>
      </w:r>
      <w:r w:rsidR="00126218" w:rsidRPr="00F55429">
        <w:rPr>
          <w:rFonts w:asciiTheme="majorHAnsi" w:hAnsiTheme="majorHAnsi" w:cstheme="majorHAnsi"/>
          <w:color w:val="000000" w:themeColor="text1"/>
        </w:rPr>
        <w:t>school/initiative lead</w:t>
      </w:r>
      <w:r w:rsidR="00BE6E8E" w:rsidRPr="008209C0">
        <w:rPr>
          <w:rFonts w:asciiTheme="majorHAnsi" w:hAnsiTheme="majorHAnsi" w:cstheme="majorHAnsi"/>
          <w:color w:val="000000" w:themeColor="text1"/>
        </w:rPr>
        <w:t xml:space="preserve"> </w:t>
      </w:r>
      <w:r w:rsidRPr="007242F9">
        <w:rPr>
          <w:rFonts w:asciiTheme="majorHAnsi" w:hAnsiTheme="majorHAnsi" w:cstheme="majorHAnsi"/>
          <w:color w:val="000000" w:themeColor="text1"/>
        </w:rPr>
        <w:t xml:space="preserve">should respond to any findings by submitting </w:t>
      </w:r>
      <w:r w:rsidR="00A26B34" w:rsidRPr="00A954F0">
        <w:rPr>
          <w:rFonts w:asciiTheme="majorHAnsi" w:hAnsiTheme="majorHAnsi" w:cstheme="majorHAnsi"/>
          <w:color w:val="000000" w:themeColor="text1"/>
        </w:rPr>
        <w:t xml:space="preserve">any additional supporting documentation </w:t>
      </w:r>
      <w:r w:rsidR="000E345F" w:rsidRPr="000F30C4">
        <w:rPr>
          <w:rFonts w:asciiTheme="majorHAnsi" w:hAnsiTheme="majorHAnsi" w:cstheme="majorHAnsi"/>
          <w:color w:val="000000" w:themeColor="text1"/>
        </w:rPr>
        <w:t xml:space="preserve">to the Restart office </w:t>
      </w:r>
      <w:r w:rsidR="00575354" w:rsidRPr="000F30C4">
        <w:rPr>
          <w:rFonts w:asciiTheme="majorHAnsi" w:hAnsiTheme="majorHAnsi" w:cstheme="majorHAnsi"/>
          <w:color w:val="000000" w:themeColor="text1"/>
        </w:rPr>
        <w:t>director</w:t>
      </w:r>
      <w:r w:rsidR="000E345F" w:rsidRPr="00743A0F">
        <w:rPr>
          <w:rFonts w:asciiTheme="majorHAnsi" w:hAnsiTheme="majorHAnsi" w:cstheme="majorHAnsi"/>
          <w:color w:val="000000" w:themeColor="text1"/>
        </w:rPr>
        <w:t>.</w:t>
      </w:r>
      <w:r w:rsidR="00A712DA" w:rsidRPr="00743A0F">
        <w:rPr>
          <w:rFonts w:asciiTheme="majorHAnsi" w:hAnsiTheme="majorHAnsi" w:cstheme="majorHAnsi"/>
          <w:color w:val="000000" w:themeColor="text1"/>
        </w:rPr>
        <w:t xml:space="preserve"> Additional supporting documentation </w:t>
      </w:r>
      <w:r w:rsidR="00126218" w:rsidRPr="00743A0F">
        <w:rPr>
          <w:rFonts w:asciiTheme="majorHAnsi" w:hAnsiTheme="majorHAnsi" w:cstheme="majorHAnsi"/>
          <w:color w:val="000000" w:themeColor="text1"/>
        </w:rPr>
        <w:t>will be</w:t>
      </w:r>
      <w:r w:rsidRPr="00743A0F">
        <w:rPr>
          <w:rFonts w:asciiTheme="majorHAnsi" w:hAnsiTheme="majorHAnsi" w:cstheme="majorHAnsi"/>
          <w:color w:val="000000" w:themeColor="text1"/>
        </w:rPr>
        <w:t xml:space="preserve"> </w:t>
      </w:r>
      <w:r w:rsidR="0009363C" w:rsidRPr="00067813">
        <w:rPr>
          <w:rFonts w:asciiTheme="majorHAnsi" w:hAnsiTheme="majorHAnsi" w:cstheme="majorHAnsi"/>
          <w:color w:val="000000" w:themeColor="text1"/>
        </w:rPr>
        <w:t xml:space="preserve">analyzed </w:t>
      </w:r>
      <w:r w:rsidRPr="00067813">
        <w:rPr>
          <w:rFonts w:asciiTheme="majorHAnsi" w:hAnsiTheme="majorHAnsi" w:cstheme="majorHAnsi"/>
          <w:color w:val="000000" w:themeColor="text1"/>
        </w:rPr>
        <w:t xml:space="preserve">by </w:t>
      </w:r>
      <w:r w:rsidR="00126218" w:rsidRPr="00455A9F">
        <w:rPr>
          <w:rFonts w:asciiTheme="majorHAnsi" w:hAnsiTheme="majorHAnsi" w:cstheme="majorHAnsi"/>
          <w:color w:val="000000" w:themeColor="text1"/>
        </w:rPr>
        <w:t>the monitor</w:t>
      </w:r>
      <w:r w:rsidRPr="00455A9F">
        <w:rPr>
          <w:rFonts w:asciiTheme="majorHAnsi" w:hAnsiTheme="majorHAnsi" w:cstheme="majorHAnsi"/>
          <w:color w:val="000000" w:themeColor="text1"/>
        </w:rPr>
        <w:t xml:space="preserve"> </w:t>
      </w:r>
      <w:r w:rsidR="00E70D62" w:rsidRPr="00455A9F">
        <w:rPr>
          <w:rFonts w:asciiTheme="majorHAnsi" w:hAnsiTheme="majorHAnsi" w:cstheme="majorHAnsi"/>
          <w:color w:val="000000" w:themeColor="text1"/>
        </w:rPr>
        <w:t>to identify if</w:t>
      </w:r>
      <w:r w:rsidR="00DC3BBA" w:rsidRPr="00455A9F">
        <w:rPr>
          <w:rFonts w:asciiTheme="majorHAnsi" w:hAnsiTheme="majorHAnsi" w:cstheme="majorHAnsi"/>
          <w:color w:val="000000" w:themeColor="text1"/>
        </w:rPr>
        <w:t xml:space="preserve"> </w:t>
      </w:r>
      <w:r w:rsidR="00E70D62" w:rsidRPr="00455A9F">
        <w:rPr>
          <w:rFonts w:asciiTheme="majorHAnsi" w:hAnsiTheme="majorHAnsi" w:cstheme="majorHAnsi"/>
          <w:color w:val="000000" w:themeColor="text1"/>
        </w:rPr>
        <w:t>the additional documentation clarifies the observations that appear within the monitoring report</w:t>
      </w:r>
      <w:r w:rsidR="00DC3BBA" w:rsidRPr="00455A9F">
        <w:rPr>
          <w:rFonts w:asciiTheme="majorHAnsi" w:hAnsiTheme="majorHAnsi" w:cstheme="majorHAnsi"/>
          <w:color w:val="000000" w:themeColor="text1"/>
        </w:rPr>
        <w:t xml:space="preserve">. </w:t>
      </w:r>
    </w:p>
    <w:p w14:paraId="66850C87" w14:textId="77777777" w:rsidR="002C4B42" w:rsidRPr="00BE6E8E" w:rsidRDefault="002C4B42" w:rsidP="007242F9">
      <w:pPr>
        <w:pStyle w:val="Default"/>
        <w:spacing w:after="9"/>
        <w:jc w:val="both"/>
        <w:rPr>
          <w:rFonts w:asciiTheme="majorHAnsi" w:hAnsiTheme="majorHAnsi" w:cstheme="majorBidi"/>
          <w:color w:val="000000" w:themeColor="text1"/>
        </w:rPr>
      </w:pPr>
    </w:p>
    <w:p w14:paraId="193E8650" w14:textId="71517ADB" w:rsidR="002C4B42" w:rsidRPr="00BE6E8E" w:rsidRDefault="002C4B42">
      <w:pPr>
        <w:pStyle w:val="Default"/>
        <w:spacing w:after="9"/>
        <w:jc w:val="both"/>
        <w:rPr>
          <w:rFonts w:asciiTheme="majorHAnsi" w:hAnsiTheme="majorHAnsi" w:cstheme="majorBidi"/>
          <w:color w:val="000000" w:themeColor="text1"/>
        </w:rPr>
      </w:pPr>
      <w:r w:rsidRPr="00BE6E8E">
        <w:rPr>
          <w:rFonts w:asciiTheme="majorHAnsi" w:hAnsiTheme="majorHAnsi" w:cstheme="majorBidi"/>
          <w:color w:val="000000" w:themeColor="text1"/>
        </w:rPr>
        <w:t xml:space="preserve">After the </w:t>
      </w:r>
      <w:r w:rsidR="00126218" w:rsidRPr="00BE6E8E">
        <w:rPr>
          <w:rFonts w:asciiTheme="majorHAnsi" w:hAnsiTheme="majorHAnsi" w:cstheme="majorBidi"/>
          <w:color w:val="000000" w:themeColor="text1"/>
        </w:rPr>
        <w:t xml:space="preserve">school/initiative lead </w:t>
      </w:r>
      <w:r w:rsidRPr="00BE6E8E">
        <w:rPr>
          <w:rFonts w:asciiTheme="majorHAnsi" w:hAnsiTheme="majorHAnsi" w:cstheme="majorBidi"/>
          <w:color w:val="000000" w:themeColor="text1"/>
        </w:rPr>
        <w:t xml:space="preserve">has submitted all the required monitoring documents, and </w:t>
      </w:r>
      <w:r w:rsidR="00955745" w:rsidRPr="00BE6E8E">
        <w:rPr>
          <w:rFonts w:asciiTheme="majorHAnsi" w:hAnsiTheme="majorHAnsi" w:cstheme="majorBidi"/>
          <w:color w:val="000000" w:themeColor="text1"/>
        </w:rPr>
        <w:t xml:space="preserve">PRDE </w:t>
      </w:r>
      <w:r w:rsidRPr="00BE6E8E">
        <w:rPr>
          <w:rFonts w:asciiTheme="majorHAnsi" w:hAnsiTheme="majorHAnsi" w:cstheme="majorBidi"/>
          <w:color w:val="000000" w:themeColor="text1"/>
        </w:rPr>
        <w:t xml:space="preserve">has determined the sub-recipient has reached compliance status, </w:t>
      </w:r>
      <w:r w:rsidR="00017B95" w:rsidRPr="00BE6E8E">
        <w:rPr>
          <w:rFonts w:asciiTheme="majorHAnsi" w:hAnsiTheme="majorHAnsi" w:cstheme="majorBidi"/>
          <w:color w:val="000000" w:themeColor="text1"/>
        </w:rPr>
        <w:t xml:space="preserve">PRDE will send </w:t>
      </w:r>
      <w:r w:rsidRPr="00BE6E8E">
        <w:rPr>
          <w:rFonts w:asciiTheme="majorHAnsi" w:hAnsiTheme="majorHAnsi" w:cstheme="majorBidi"/>
          <w:color w:val="000000" w:themeColor="text1"/>
        </w:rPr>
        <w:t xml:space="preserve">the following documentation to the </w:t>
      </w:r>
      <w:r w:rsidR="00126218" w:rsidRPr="00BE6E8E">
        <w:rPr>
          <w:rFonts w:asciiTheme="majorHAnsi" w:hAnsiTheme="majorHAnsi" w:cstheme="majorBidi"/>
          <w:color w:val="000000" w:themeColor="text1"/>
        </w:rPr>
        <w:t xml:space="preserve">initiative </w:t>
      </w:r>
      <w:r w:rsidR="0079045F" w:rsidRPr="0079045F">
        <w:rPr>
          <w:rFonts w:asciiTheme="majorHAnsi" w:hAnsiTheme="majorHAnsi" w:cstheme="majorBidi"/>
          <w:color w:val="000000" w:themeColor="text1"/>
        </w:rPr>
        <w:t>lead</w:t>
      </w:r>
      <w:r w:rsidR="0079045F">
        <w:rPr>
          <w:rFonts w:asciiTheme="majorHAnsi" w:hAnsiTheme="majorHAnsi" w:cstheme="majorBidi"/>
          <w:color w:val="000000" w:themeColor="text1"/>
        </w:rPr>
        <w:t>,</w:t>
      </w:r>
      <w:r w:rsidR="0079045F" w:rsidRPr="0079045F">
        <w:rPr>
          <w:rFonts w:asciiTheme="majorHAnsi" w:hAnsiTheme="majorHAnsi" w:cstheme="majorBidi"/>
          <w:color w:val="000000" w:themeColor="text1"/>
        </w:rPr>
        <w:t xml:space="preserve"> school’s</w:t>
      </w:r>
      <w:r w:rsidRPr="00BE6E8E">
        <w:rPr>
          <w:rFonts w:asciiTheme="majorHAnsi" w:hAnsiTheme="majorHAnsi" w:cstheme="majorBidi"/>
          <w:color w:val="000000" w:themeColor="text1"/>
        </w:rPr>
        <w:t xml:space="preserve"> principal or the authorized representative:</w:t>
      </w:r>
    </w:p>
    <w:p w14:paraId="0EB37ACA" w14:textId="77777777" w:rsidR="002C4B42" w:rsidRPr="00BE6E8E" w:rsidRDefault="002C4B42" w:rsidP="00342E9E">
      <w:pPr>
        <w:pStyle w:val="Default"/>
        <w:numPr>
          <w:ilvl w:val="0"/>
          <w:numId w:val="14"/>
        </w:numPr>
        <w:spacing w:after="9"/>
        <w:jc w:val="both"/>
        <w:rPr>
          <w:rFonts w:asciiTheme="majorHAnsi" w:hAnsiTheme="majorHAnsi" w:cstheme="majorBidi"/>
          <w:color w:val="000000" w:themeColor="text1"/>
        </w:rPr>
      </w:pPr>
      <w:r w:rsidRPr="00BE6E8E">
        <w:rPr>
          <w:rFonts w:asciiTheme="majorHAnsi" w:hAnsiTheme="majorHAnsi" w:cstheme="majorBidi"/>
          <w:color w:val="000000" w:themeColor="text1"/>
        </w:rPr>
        <w:t>Formal compliance letter</w:t>
      </w:r>
    </w:p>
    <w:p w14:paraId="167A550D" w14:textId="77777777" w:rsidR="002C4B42" w:rsidRPr="00BE6E8E" w:rsidRDefault="002C4B42" w:rsidP="00342E9E">
      <w:pPr>
        <w:pStyle w:val="Default"/>
        <w:numPr>
          <w:ilvl w:val="0"/>
          <w:numId w:val="14"/>
        </w:numPr>
        <w:spacing w:after="9"/>
        <w:jc w:val="both"/>
        <w:rPr>
          <w:rFonts w:asciiTheme="majorHAnsi" w:hAnsiTheme="majorHAnsi" w:cstheme="majorBidi"/>
          <w:color w:val="000000" w:themeColor="text1"/>
        </w:rPr>
      </w:pPr>
      <w:r w:rsidRPr="00BE6E8E">
        <w:rPr>
          <w:rFonts w:asciiTheme="majorHAnsi" w:hAnsiTheme="majorHAnsi" w:cstheme="majorBidi"/>
          <w:color w:val="000000" w:themeColor="text1"/>
        </w:rPr>
        <w:t>Monitoring tool indicating all areas have met requirements</w:t>
      </w:r>
    </w:p>
    <w:p w14:paraId="6E1D9A01" w14:textId="77777777" w:rsidR="002C4B42" w:rsidRPr="00ED5272" w:rsidRDefault="002C4B42" w:rsidP="0059178F">
      <w:pPr>
        <w:pStyle w:val="Default"/>
        <w:spacing w:after="9"/>
        <w:jc w:val="both"/>
        <w:rPr>
          <w:rFonts w:asciiTheme="majorHAnsi" w:hAnsiTheme="majorHAnsi" w:cstheme="majorBidi"/>
          <w:color w:val="000000" w:themeColor="text1"/>
        </w:rPr>
      </w:pPr>
    </w:p>
    <w:p w14:paraId="00AA00BE" w14:textId="4E296548" w:rsidR="002C4B42" w:rsidRPr="00ED5272" w:rsidRDefault="00126218" w:rsidP="0059178F">
      <w:pPr>
        <w:pStyle w:val="Default"/>
        <w:spacing w:after="9"/>
        <w:jc w:val="both"/>
        <w:rPr>
          <w:rFonts w:asciiTheme="majorHAnsi" w:hAnsiTheme="majorHAnsi" w:cstheme="majorBidi"/>
          <w:color w:val="000000" w:themeColor="text1"/>
        </w:rPr>
      </w:pPr>
      <w:r>
        <w:rPr>
          <w:rFonts w:asciiTheme="majorHAnsi" w:hAnsiTheme="majorHAnsi" w:cstheme="majorBidi"/>
          <w:color w:val="000000" w:themeColor="text1"/>
        </w:rPr>
        <w:t xml:space="preserve">If it is </w:t>
      </w:r>
      <w:r w:rsidR="002C4B42" w:rsidRPr="00ED5272">
        <w:rPr>
          <w:rFonts w:asciiTheme="majorHAnsi" w:hAnsiTheme="majorHAnsi" w:cstheme="majorBidi"/>
          <w:color w:val="000000" w:themeColor="text1"/>
        </w:rPr>
        <w:t xml:space="preserve">determined </w:t>
      </w:r>
      <w:r>
        <w:rPr>
          <w:rFonts w:asciiTheme="majorHAnsi" w:hAnsiTheme="majorHAnsi" w:cstheme="majorBidi"/>
          <w:color w:val="000000" w:themeColor="text1"/>
        </w:rPr>
        <w:t xml:space="preserve">that </w:t>
      </w:r>
      <w:r w:rsidR="002C4B42" w:rsidRPr="00ED5272">
        <w:rPr>
          <w:rFonts w:asciiTheme="majorHAnsi" w:hAnsiTheme="majorHAnsi" w:cstheme="majorBidi"/>
          <w:color w:val="000000" w:themeColor="text1"/>
        </w:rPr>
        <w:t>the school has not reached compliant status</w:t>
      </w:r>
      <w:r>
        <w:rPr>
          <w:rFonts w:asciiTheme="majorHAnsi" w:hAnsiTheme="majorHAnsi" w:cstheme="majorBidi"/>
          <w:color w:val="000000" w:themeColor="text1"/>
        </w:rPr>
        <w:t xml:space="preserve"> at the end of the above explained process</w:t>
      </w:r>
      <w:r w:rsidR="002C4B42" w:rsidRPr="00ED5272">
        <w:rPr>
          <w:rFonts w:asciiTheme="majorHAnsi" w:hAnsiTheme="majorHAnsi" w:cstheme="majorBidi"/>
          <w:color w:val="000000" w:themeColor="text1"/>
        </w:rPr>
        <w:t xml:space="preserve">, the school is subject to </w:t>
      </w:r>
      <w:r w:rsidR="00F55429">
        <w:rPr>
          <w:rFonts w:asciiTheme="majorHAnsi" w:hAnsiTheme="majorHAnsi" w:cstheme="majorBidi"/>
          <w:color w:val="000000" w:themeColor="text1"/>
        </w:rPr>
        <w:t xml:space="preserve">a request for additional information/documents in order to close or resolve any exceptions noted. Due to COVID19 pandemic, in person activities are </w:t>
      </w:r>
      <w:r w:rsidR="00622130">
        <w:rPr>
          <w:rFonts w:asciiTheme="majorHAnsi" w:hAnsiTheme="majorHAnsi" w:cstheme="majorBidi"/>
          <w:color w:val="000000" w:themeColor="text1"/>
        </w:rPr>
        <w:t xml:space="preserve">not recommended until the population has been vaccinated and/or the health risks are demised. </w:t>
      </w:r>
    </w:p>
    <w:p w14:paraId="56EEB916" w14:textId="77777777" w:rsidR="009C0440" w:rsidRPr="00ED5272" w:rsidRDefault="009C0440" w:rsidP="0059178F">
      <w:pPr>
        <w:pStyle w:val="Default"/>
        <w:spacing w:after="9"/>
        <w:jc w:val="both"/>
        <w:rPr>
          <w:rFonts w:asciiTheme="majorHAnsi" w:hAnsiTheme="majorHAnsi" w:cstheme="majorBidi"/>
          <w:color w:val="000000" w:themeColor="text1"/>
        </w:rPr>
      </w:pPr>
    </w:p>
    <w:p w14:paraId="1F3F6895" w14:textId="63BDF51B" w:rsidR="002C4B42" w:rsidRPr="00ED5272" w:rsidRDefault="002C4B42" w:rsidP="0059178F">
      <w:pPr>
        <w:pStyle w:val="Default"/>
        <w:spacing w:after="9"/>
        <w:jc w:val="both"/>
        <w:rPr>
          <w:rFonts w:asciiTheme="majorHAnsi" w:hAnsiTheme="majorHAnsi" w:cstheme="majorBidi"/>
          <w:color w:val="000000" w:themeColor="text1"/>
        </w:rPr>
      </w:pPr>
      <w:r w:rsidRPr="00ED5272">
        <w:rPr>
          <w:rFonts w:asciiTheme="majorHAnsi" w:hAnsiTheme="majorHAnsi" w:cstheme="majorBidi"/>
          <w:color w:val="000000" w:themeColor="text1"/>
        </w:rPr>
        <w:t xml:space="preserve">As a preliminary schedule for school monitoring, the </w:t>
      </w:r>
      <w:r w:rsidR="00126218">
        <w:rPr>
          <w:rFonts w:asciiTheme="majorHAnsi" w:hAnsiTheme="majorHAnsi" w:cstheme="majorBidi"/>
          <w:color w:val="000000" w:themeColor="text1"/>
        </w:rPr>
        <w:t>monitor</w:t>
      </w:r>
      <w:r w:rsidR="00126218" w:rsidRPr="00ED5272">
        <w:rPr>
          <w:rFonts w:asciiTheme="majorHAnsi" w:hAnsiTheme="majorHAnsi" w:cstheme="majorBidi"/>
          <w:color w:val="000000" w:themeColor="text1"/>
        </w:rPr>
        <w:t xml:space="preserve"> </w:t>
      </w:r>
      <w:r w:rsidRPr="00ED5272">
        <w:rPr>
          <w:rFonts w:asciiTheme="majorHAnsi" w:hAnsiTheme="majorHAnsi" w:cstheme="majorBidi"/>
          <w:color w:val="000000" w:themeColor="text1"/>
        </w:rPr>
        <w:t>has developed the following schedule:</w:t>
      </w:r>
    </w:p>
    <w:p w14:paraId="5E9BE75B" w14:textId="77777777" w:rsidR="002C4B42" w:rsidRPr="00880F0E" w:rsidRDefault="002C4B42" w:rsidP="002C4B42">
      <w:pPr>
        <w:pStyle w:val="Default"/>
        <w:spacing w:after="9"/>
        <w:jc w:val="both"/>
        <w:rPr>
          <w:rFonts w:asciiTheme="majorHAnsi" w:hAnsiTheme="majorHAnsi" w:cstheme="majorBidi"/>
          <w:color w:val="000000" w:themeColor="text1"/>
          <w:sz w:val="22"/>
          <w:szCs w:val="22"/>
          <w:highlight w:val="lightGray"/>
        </w:rPr>
      </w:pPr>
    </w:p>
    <w:tbl>
      <w:tblPr>
        <w:tblStyle w:val="TableGrid"/>
        <w:tblW w:w="10170" w:type="dxa"/>
        <w:tblInd w:w="-5" w:type="dxa"/>
        <w:tblBorders>
          <w:insideH w:val="none" w:sz="0" w:space="0" w:color="auto"/>
          <w:insideV w:val="none" w:sz="0" w:space="0" w:color="auto"/>
        </w:tblBorders>
        <w:tblLook w:val="04A0" w:firstRow="1" w:lastRow="0" w:firstColumn="1" w:lastColumn="0" w:noHBand="0" w:noVBand="1"/>
      </w:tblPr>
      <w:tblGrid>
        <w:gridCol w:w="4038"/>
        <w:gridCol w:w="6132"/>
      </w:tblGrid>
      <w:tr w:rsidR="002C4B42" w:rsidRPr="00880F0E" w14:paraId="5FA9B1E7" w14:textId="77777777" w:rsidTr="0059178F">
        <w:tc>
          <w:tcPr>
            <w:tcW w:w="10170" w:type="dxa"/>
            <w:gridSpan w:val="2"/>
          </w:tcPr>
          <w:p w14:paraId="1E0775FD" w14:textId="0970EA66" w:rsidR="002C4B42" w:rsidRDefault="0059178F" w:rsidP="0059178F">
            <w:pPr>
              <w:pStyle w:val="Default"/>
              <w:spacing w:after="9"/>
              <w:jc w:val="center"/>
              <w:rPr>
                <w:rFonts w:asciiTheme="majorHAnsi" w:hAnsiTheme="majorHAnsi" w:cstheme="majorBidi"/>
                <w:b/>
                <w:color w:val="000000" w:themeColor="text1"/>
                <w:sz w:val="22"/>
                <w:szCs w:val="22"/>
              </w:rPr>
            </w:pPr>
            <w:r>
              <w:rPr>
                <w:rFonts w:asciiTheme="majorHAnsi" w:hAnsiTheme="majorHAnsi" w:cstheme="majorBidi"/>
                <w:b/>
                <w:color w:val="000000" w:themeColor="text1"/>
                <w:sz w:val="22"/>
                <w:szCs w:val="22"/>
              </w:rPr>
              <w:t>Sample School</w:t>
            </w:r>
            <w:r w:rsidR="00724E09">
              <w:rPr>
                <w:rFonts w:asciiTheme="majorHAnsi" w:hAnsiTheme="majorHAnsi" w:cstheme="majorBidi"/>
                <w:b/>
                <w:color w:val="000000" w:themeColor="text1"/>
                <w:sz w:val="22"/>
                <w:szCs w:val="22"/>
              </w:rPr>
              <w:t>/Office/</w:t>
            </w:r>
            <w:r w:rsidR="00126218">
              <w:rPr>
                <w:rFonts w:asciiTheme="majorHAnsi" w:hAnsiTheme="majorHAnsi" w:cstheme="majorBidi"/>
                <w:b/>
                <w:color w:val="000000" w:themeColor="text1"/>
                <w:sz w:val="22"/>
                <w:szCs w:val="22"/>
              </w:rPr>
              <w:t>Initiative Lead/</w:t>
            </w:r>
            <w:r w:rsidR="00724E09">
              <w:rPr>
                <w:rFonts w:asciiTheme="majorHAnsi" w:hAnsiTheme="majorHAnsi" w:cstheme="majorBidi"/>
                <w:b/>
                <w:color w:val="000000" w:themeColor="text1"/>
                <w:sz w:val="22"/>
                <w:szCs w:val="22"/>
              </w:rPr>
              <w:t xml:space="preserve">Program </w:t>
            </w:r>
            <w:r>
              <w:rPr>
                <w:rFonts w:asciiTheme="majorHAnsi" w:hAnsiTheme="majorHAnsi" w:cstheme="majorBidi"/>
                <w:b/>
                <w:color w:val="000000" w:themeColor="text1"/>
                <w:sz w:val="22"/>
                <w:szCs w:val="22"/>
              </w:rPr>
              <w:t>Visit Schedule</w:t>
            </w:r>
            <w:r w:rsidR="00175437">
              <w:rPr>
                <w:rFonts w:asciiTheme="majorHAnsi" w:hAnsiTheme="majorHAnsi" w:cstheme="majorBidi"/>
                <w:b/>
                <w:color w:val="000000" w:themeColor="text1"/>
                <w:sz w:val="22"/>
                <w:szCs w:val="22"/>
              </w:rPr>
              <w:t>*</w:t>
            </w:r>
          </w:p>
          <w:p w14:paraId="1F461BEA" w14:textId="77777777" w:rsidR="0059178F" w:rsidRPr="0059178F" w:rsidRDefault="0059178F" w:rsidP="0059178F">
            <w:pPr>
              <w:pStyle w:val="Default"/>
              <w:spacing w:after="9"/>
              <w:jc w:val="center"/>
              <w:rPr>
                <w:rFonts w:asciiTheme="majorHAnsi" w:hAnsiTheme="majorHAnsi" w:cstheme="majorBidi"/>
                <w:b/>
                <w:color w:val="000000" w:themeColor="text1"/>
                <w:sz w:val="10"/>
                <w:szCs w:val="10"/>
              </w:rPr>
            </w:pPr>
          </w:p>
        </w:tc>
      </w:tr>
      <w:tr w:rsidR="002C4B42" w:rsidRPr="00880F0E" w14:paraId="49F12F58" w14:textId="77777777" w:rsidTr="0059178F">
        <w:tc>
          <w:tcPr>
            <w:tcW w:w="4038" w:type="dxa"/>
          </w:tcPr>
          <w:p w14:paraId="0C1AD937" w14:textId="77777777" w:rsidR="002C4B42" w:rsidRPr="00ED5272" w:rsidRDefault="002C4B42" w:rsidP="009E6983">
            <w:pPr>
              <w:pStyle w:val="Default"/>
              <w:spacing w:after="9"/>
              <w:ind w:left="894"/>
              <w:jc w:val="both"/>
              <w:rPr>
                <w:rFonts w:asciiTheme="majorHAnsi" w:hAnsiTheme="majorHAnsi" w:cstheme="majorBidi"/>
                <w:b/>
                <w:color w:val="000000" w:themeColor="text1"/>
                <w:sz w:val="22"/>
                <w:szCs w:val="22"/>
              </w:rPr>
            </w:pPr>
            <w:r w:rsidRPr="00ED5272">
              <w:rPr>
                <w:rFonts w:asciiTheme="majorHAnsi" w:hAnsiTheme="majorHAnsi" w:cstheme="majorBidi"/>
                <w:b/>
                <w:color w:val="000000" w:themeColor="text1"/>
                <w:sz w:val="22"/>
                <w:szCs w:val="22"/>
              </w:rPr>
              <w:t>8:00-8:15am</w:t>
            </w:r>
          </w:p>
        </w:tc>
        <w:tc>
          <w:tcPr>
            <w:tcW w:w="6132" w:type="dxa"/>
          </w:tcPr>
          <w:p w14:paraId="7D0BD4D7" w14:textId="77777777" w:rsidR="002C4B42" w:rsidRPr="00ED5272" w:rsidRDefault="002C4B42" w:rsidP="009E6983">
            <w:pPr>
              <w:pStyle w:val="Default"/>
              <w:spacing w:after="9"/>
              <w:jc w:val="both"/>
              <w:rPr>
                <w:rFonts w:asciiTheme="majorHAnsi" w:hAnsiTheme="majorHAnsi" w:cstheme="majorBidi"/>
                <w:color w:val="000000" w:themeColor="text1"/>
                <w:sz w:val="22"/>
                <w:szCs w:val="22"/>
              </w:rPr>
            </w:pPr>
            <w:r w:rsidRPr="00ED5272">
              <w:rPr>
                <w:rFonts w:asciiTheme="majorHAnsi" w:hAnsiTheme="majorHAnsi" w:cstheme="majorBidi"/>
                <w:color w:val="000000" w:themeColor="text1"/>
                <w:sz w:val="22"/>
                <w:szCs w:val="22"/>
              </w:rPr>
              <w:t>Entrance Meeting</w:t>
            </w:r>
          </w:p>
        </w:tc>
      </w:tr>
      <w:tr w:rsidR="002C4B42" w:rsidRPr="00880F0E" w14:paraId="4A18C1D8" w14:textId="77777777" w:rsidTr="0059178F">
        <w:tc>
          <w:tcPr>
            <w:tcW w:w="4038" w:type="dxa"/>
          </w:tcPr>
          <w:p w14:paraId="44B22AE5" w14:textId="77777777" w:rsidR="002C4B42" w:rsidRPr="00ED5272" w:rsidRDefault="002C4B42" w:rsidP="009E6983">
            <w:pPr>
              <w:pStyle w:val="Default"/>
              <w:spacing w:after="9"/>
              <w:ind w:left="894"/>
              <w:jc w:val="both"/>
              <w:rPr>
                <w:rFonts w:asciiTheme="majorHAnsi" w:hAnsiTheme="majorHAnsi" w:cstheme="majorBidi"/>
                <w:b/>
                <w:color w:val="000000" w:themeColor="text1"/>
                <w:sz w:val="22"/>
                <w:szCs w:val="22"/>
              </w:rPr>
            </w:pPr>
            <w:r w:rsidRPr="00ED5272">
              <w:rPr>
                <w:rFonts w:asciiTheme="majorHAnsi" w:hAnsiTheme="majorHAnsi" w:cstheme="majorBidi"/>
                <w:b/>
                <w:color w:val="000000" w:themeColor="text1"/>
                <w:sz w:val="22"/>
                <w:szCs w:val="22"/>
              </w:rPr>
              <w:t>8:15-9:00am</w:t>
            </w:r>
          </w:p>
        </w:tc>
        <w:tc>
          <w:tcPr>
            <w:tcW w:w="6132" w:type="dxa"/>
          </w:tcPr>
          <w:p w14:paraId="02246A90" w14:textId="77777777" w:rsidR="002C4B42" w:rsidRPr="00ED5272" w:rsidRDefault="002C4B42" w:rsidP="009E6983">
            <w:pPr>
              <w:pStyle w:val="Default"/>
              <w:spacing w:after="9"/>
              <w:jc w:val="both"/>
              <w:rPr>
                <w:rFonts w:asciiTheme="majorHAnsi" w:hAnsiTheme="majorHAnsi" w:cstheme="majorBidi"/>
                <w:color w:val="000000" w:themeColor="text1"/>
                <w:sz w:val="22"/>
                <w:szCs w:val="22"/>
              </w:rPr>
            </w:pPr>
            <w:r w:rsidRPr="00ED5272">
              <w:rPr>
                <w:rFonts w:asciiTheme="majorHAnsi" w:hAnsiTheme="majorHAnsi" w:cstheme="majorBidi"/>
                <w:color w:val="000000" w:themeColor="text1"/>
                <w:sz w:val="22"/>
                <w:szCs w:val="22"/>
              </w:rPr>
              <w:t>Interviews with School Administration Personnel</w:t>
            </w:r>
          </w:p>
        </w:tc>
      </w:tr>
      <w:tr w:rsidR="002C4B42" w:rsidRPr="00880F0E" w14:paraId="15A63F5A" w14:textId="77777777" w:rsidTr="0059178F">
        <w:tc>
          <w:tcPr>
            <w:tcW w:w="4038" w:type="dxa"/>
          </w:tcPr>
          <w:p w14:paraId="32D169C4" w14:textId="77777777" w:rsidR="002C4B42" w:rsidRPr="00ED5272" w:rsidRDefault="002C4B42" w:rsidP="009E6983">
            <w:pPr>
              <w:pStyle w:val="Default"/>
              <w:spacing w:after="9"/>
              <w:ind w:left="894"/>
              <w:jc w:val="both"/>
              <w:rPr>
                <w:rFonts w:asciiTheme="majorHAnsi" w:hAnsiTheme="majorHAnsi" w:cstheme="majorBidi"/>
                <w:b/>
                <w:color w:val="000000" w:themeColor="text1"/>
                <w:sz w:val="22"/>
                <w:szCs w:val="22"/>
              </w:rPr>
            </w:pPr>
            <w:r w:rsidRPr="00ED5272">
              <w:rPr>
                <w:rFonts w:asciiTheme="majorHAnsi" w:hAnsiTheme="majorHAnsi" w:cstheme="majorBidi"/>
                <w:b/>
                <w:color w:val="000000" w:themeColor="text1"/>
                <w:sz w:val="22"/>
                <w:szCs w:val="22"/>
              </w:rPr>
              <w:t>9:00-10:00am</w:t>
            </w:r>
          </w:p>
        </w:tc>
        <w:tc>
          <w:tcPr>
            <w:tcW w:w="6132" w:type="dxa"/>
          </w:tcPr>
          <w:p w14:paraId="26D35D12" w14:textId="77777777" w:rsidR="002C4B42" w:rsidRPr="00ED5272" w:rsidRDefault="002C4B42" w:rsidP="009E6983">
            <w:pPr>
              <w:pStyle w:val="Default"/>
              <w:spacing w:after="9"/>
              <w:jc w:val="both"/>
              <w:rPr>
                <w:rFonts w:asciiTheme="majorHAnsi" w:hAnsiTheme="majorHAnsi" w:cstheme="majorBidi"/>
                <w:color w:val="000000" w:themeColor="text1"/>
                <w:sz w:val="22"/>
                <w:szCs w:val="22"/>
              </w:rPr>
            </w:pPr>
            <w:r w:rsidRPr="00ED5272">
              <w:rPr>
                <w:rFonts w:asciiTheme="majorHAnsi" w:hAnsiTheme="majorHAnsi" w:cstheme="majorBidi"/>
                <w:color w:val="000000" w:themeColor="text1"/>
                <w:sz w:val="22"/>
                <w:szCs w:val="22"/>
              </w:rPr>
              <w:t>Classroom Observations &amp; Student Interviews (if applicable)</w:t>
            </w:r>
          </w:p>
        </w:tc>
      </w:tr>
      <w:tr w:rsidR="002C4B42" w:rsidRPr="00880F0E" w14:paraId="566F92E1" w14:textId="77777777" w:rsidTr="0059178F">
        <w:tc>
          <w:tcPr>
            <w:tcW w:w="4038" w:type="dxa"/>
          </w:tcPr>
          <w:p w14:paraId="25D921EF" w14:textId="77777777" w:rsidR="002C4B42" w:rsidRPr="00ED5272" w:rsidRDefault="002C4B42" w:rsidP="009E6983">
            <w:pPr>
              <w:pStyle w:val="Default"/>
              <w:spacing w:after="9"/>
              <w:ind w:left="894"/>
              <w:jc w:val="both"/>
              <w:rPr>
                <w:rFonts w:asciiTheme="majorHAnsi" w:hAnsiTheme="majorHAnsi" w:cstheme="majorBidi"/>
                <w:b/>
                <w:color w:val="000000" w:themeColor="text1"/>
                <w:sz w:val="22"/>
                <w:szCs w:val="22"/>
              </w:rPr>
            </w:pPr>
            <w:r w:rsidRPr="00ED5272">
              <w:rPr>
                <w:rFonts w:asciiTheme="majorHAnsi" w:hAnsiTheme="majorHAnsi" w:cstheme="majorBidi"/>
                <w:b/>
                <w:color w:val="000000" w:themeColor="text1"/>
                <w:sz w:val="22"/>
                <w:szCs w:val="22"/>
              </w:rPr>
              <w:t>10:00-11:00am</w:t>
            </w:r>
          </w:p>
        </w:tc>
        <w:tc>
          <w:tcPr>
            <w:tcW w:w="6132" w:type="dxa"/>
          </w:tcPr>
          <w:p w14:paraId="15F7972F" w14:textId="77777777" w:rsidR="002C4B42" w:rsidRPr="00ED5272" w:rsidRDefault="002C4B42" w:rsidP="009E6983">
            <w:pPr>
              <w:pStyle w:val="Default"/>
              <w:spacing w:after="9"/>
              <w:jc w:val="both"/>
              <w:rPr>
                <w:rFonts w:asciiTheme="majorHAnsi" w:hAnsiTheme="majorHAnsi" w:cstheme="majorBidi"/>
                <w:color w:val="000000" w:themeColor="text1"/>
                <w:sz w:val="22"/>
                <w:szCs w:val="22"/>
              </w:rPr>
            </w:pPr>
            <w:r w:rsidRPr="00ED5272">
              <w:rPr>
                <w:rFonts w:asciiTheme="majorHAnsi" w:hAnsiTheme="majorHAnsi" w:cstheme="majorBidi"/>
                <w:color w:val="000000" w:themeColor="text1"/>
                <w:sz w:val="22"/>
                <w:szCs w:val="22"/>
              </w:rPr>
              <w:t>Documentation Review, including the validation of the equipment and materials purchased with RESTART funds.</w:t>
            </w:r>
          </w:p>
        </w:tc>
      </w:tr>
      <w:tr w:rsidR="002C4B42" w:rsidRPr="00880F0E" w14:paraId="3C00814F" w14:textId="77777777" w:rsidTr="0059178F">
        <w:tc>
          <w:tcPr>
            <w:tcW w:w="4038" w:type="dxa"/>
          </w:tcPr>
          <w:p w14:paraId="1162B368" w14:textId="77777777" w:rsidR="002C4B42" w:rsidRPr="00ED5272" w:rsidRDefault="002C4B42" w:rsidP="009E6983">
            <w:pPr>
              <w:pStyle w:val="Default"/>
              <w:spacing w:after="9"/>
              <w:ind w:left="894"/>
              <w:jc w:val="both"/>
              <w:rPr>
                <w:rFonts w:asciiTheme="majorHAnsi" w:hAnsiTheme="majorHAnsi" w:cstheme="majorBidi"/>
                <w:b/>
                <w:color w:val="000000" w:themeColor="text1"/>
                <w:sz w:val="22"/>
                <w:szCs w:val="22"/>
              </w:rPr>
            </w:pPr>
            <w:r w:rsidRPr="00ED5272">
              <w:rPr>
                <w:rFonts w:asciiTheme="majorHAnsi" w:hAnsiTheme="majorHAnsi" w:cstheme="majorBidi"/>
                <w:b/>
                <w:color w:val="000000" w:themeColor="text1"/>
                <w:sz w:val="22"/>
                <w:szCs w:val="22"/>
              </w:rPr>
              <w:t>11:00-11:30am</w:t>
            </w:r>
          </w:p>
        </w:tc>
        <w:tc>
          <w:tcPr>
            <w:tcW w:w="6132" w:type="dxa"/>
          </w:tcPr>
          <w:p w14:paraId="12896551" w14:textId="77777777" w:rsidR="002C4B42" w:rsidRPr="00ED5272" w:rsidRDefault="002C4B42" w:rsidP="009E6983">
            <w:pPr>
              <w:pStyle w:val="Default"/>
              <w:spacing w:after="9"/>
              <w:jc w:val="both"/>
              <w:rPr>
                <w:rFonts w:asciiTheme="majorHAnsi" w:hAnsiTheme="majorHAnsi" w:cstheme="majorBidi"/>
                <w:color w:val="000000" w:themeColor="text1"/>
                <w:sz w:val="22"/>
                <w:szCs w:val="22"/>
              </w:rPr>
            </w:pPr>
            <w:r w:rsidRPr="00ED5272">
              <w:rPr>
                <w:rFonts w:asciiTheme="majorHAnsi" w:hAnsiTheme="majorHAnsi" w:cstheme="majorBidi"/>
                <w:color w:val="000000" w:themeColor="text1"/>
                <w:sz w:val="22"/>
                <w:szCs w:val="22"/>
              </w:rPr>
              <w:t>Teacher Interviews</w:t>
            </w:r>
          </w:p>
        </w:tc>
      </w:tr>
      <w:tr w:rsidR="002C4B42" w:rsidRPr="00CC770D" w14:paraId="248A0AB0" w14:textId="77777777" w:rsidTr="0059178F">
        <w:tc>
          <w:tcPr>
            <w:tcW w:w="4038" w:type="dxa"/>
          </w:tcPr>
          <w:p w14:paraId="7A6D85F8" w14:textId="77777777" w:rsidR="002C4B42" w:rsidRPr="00ED5272" w:rsidRDefault="002C4B42" w:rsidP="009E6983">
            <w:pPr>
              <w:pStyle w:val="Default"/>
              <w:spacing w:after="9"/>
              <w:ind w:left="894"/>
              <w:jc w:val="both"/>
              <w:rPr>
                <w:rFonts w:asciiTheme="majorHAnsi" w:hAnsiTheme="majorHAnsi" w:cstheme="majorBidi"/>
                <w:b/>
                <w:color w:val="000000" w:themeColor="text1"/>
                <w:sz w:val="22"/>
                <w:szCs w:val="22"/>
              </w:rPr>
            </w:pPr>
            <w:r w:rsidRPr="00ED5272">
              <w:rPr>
                <w:rFonts w:asciiTheme="majorHAnsi" w:hAnsiTheme="majorHAnsi" w:cstheme="majorBidi"/>
                <w:b/>
                <w:color w:val="000000" w:themeColor="text1"/>
                <w:sz w:val="22"/>
                <w:szCs w:val="22"/>
              </w:rPr>
              <w:t>11:30-12:00pm</w:t>
            </w:r>
          </w:p>
        </w:tc>
        <w:tc>
          <w:tcPr>
            <w:tcW w:w="6132" w:type="dxa"/>
          </w:tcPr>
          <w:p w14:paraId="56B965DE" w14:textId="77777777" w:rsidR="002C4B42" w:rsidRPr="00ED5272" w:rsidRDefault="002C4B42" w:rsidP="009E6983">
            <w:pPr>
              <w:pStyle w:val="Default"/>
              <w:spacing w:after="9"/>
              <w:jc w:val="both"/>
              <w:rPr>
                <w:rFonts w:asciiTheme="majorHAnsi" w:hAnsiTheme="majorHAnsi" w:cstheme="majorBidi"/>
                <w:color w:val="000000" w:themeColor="text1"/>
                <w:sz w:val="22"/>
                <w:szCs w:val="22"/>
              </w:rPr>
            </w:pPr>
            <w:r w:rsidRPr="00ED5272">
              <w:rPr>
                <w:rFonts w:asciiTheme="majorHAnsi" w:hAnsiTheme="majorHAnsi" w:cstheme="majorBidi"/>
                <w:color w:val="000000" w:themeColor="text1"/>
                <w:sz w:val="22"/>
                <w:szCs w:val="22"/>
              </w:rPr>
              <w:t>Wrap up with School Administrator</w:t>
            </w:r>
          </w:p>
          <w:p w14:paraId="2185C958" w14:textId="77777777" w:rsidR="002C4B42" w:rsidRPr="0059178F" w:rsidRDefault="002C4B42" w:rsidP="009E6983">
            <w:pPr>
              <w:pStyle w:val="Default"/>
              <w:spacing w:after="9"/>
              <w:jc w:val="both"/>
              <w:rPr>
                <w:rFonts w:asciiTheme="majorHAnsi" w:hAnsiTheme="majorHAnsi" w:cstheme="majorBidi"/>
                <w:color w:val="000000" w:themeColor="text1"/>
                <w:sz w:val="10"/>
                <w:szCs w:val="10"/>
              </w:rPr>
            </w:pPr>
          </w:p>
        </w:tc>
      </w:tr>
    </w:tbl>
    <w:p w14:paraId="605E5DBA" w14:textId="1008B996" w:rsidR="00A65A0B" w:rsidRDefault="00126218" w:rsidP="4F9E87E5">
      <w:pPr>
        <w:pStyle w:val="Default"/>
        <w:spacing w:after="9"/>
        <w:jc w:val="both"/>
        <w:rPr>
          <w:rFonts w:asciiTheme="majorHAnsi" w:hAnsiTheme="majorHAnsi" w:cstheme="majorBidi"/>
          <w:color w:val="000000" w:themeColor="text1"/>
        </w:rPr>
      </w:pPr>
      <w:r>
        <w:rPr>
          <w:rFonts w:asciiTheme="majorHAnsi" w:hAnsiTheme="majorHAnsi" w:cstheme="majorBidi"/>
          <w:color w:val="000000" w:themeColor="text1"/>
          <w:sz w:val="22"/>
          <w:szCs w:val="22"/>
        </w:rPr>
        <w:t xml:space="preserve">*This visit schedule is subject to changes based on the needs of the entity/office/school/program that is being monitored and due to COVID19 pandemic arising challenges. Constant communication </w:t>
      </w:r>
      <w:r w:rsidR="00175437">
        <w:rPr>
          <w:rFonts w:asciiTheme="majorHAnsi" w:hAnsiTheme="majorHAnsi" w:cstheme="majorBidi"/>
          <w:color w:val="000000" w:themeColor="text1"/>
          <w:sz w:val="22"/>
          <w:szCs w:val="22"/>
        </w:rPr>
        <w:t xml:space="preserve">between parties will be required to address any outstanding issues. </w:t>
      </w:r>
    </w:p>
    <w:p w14:paraId="67CDA6B7" w14:textId="77777777" w:rsidR="00BB5D20" w:rsidRPr="00CC770D" w:rsidRDefault="00BB5D20" w:rsidP="008319C6">
      <w:pPr>
        <w:pStyle w:val="Default"/>
        <w:spacing w:after="9"/>
        <w:jc w:val="both"/>
        <w:rPr>
          <w:rFonts w:asciiTheme="majorHAnsi" w:hAnsiTheme="majorHAnsi" w:cstheme="majorHAnsi"/>
          <w:color w:val="000000" w:themeColor="text1"/>
          <w:sz w:val="22"/>
          <w:szCs w:val="22"/>
        </w:rPr>
      </w:pPr>
    </w:p>
    <w:p w14:paraId="464AED09" w14:textId="3D2529CB" w:rsidR="00FB453B" w:rsidRDefault="00FB453B" w:rsidP="005A709B">
      <w:pPr>
        <w:pStyle w:val="Default"/>
        <w:spacing w:after="9"/>
        <w:jc w:val="both"/>
        <w:rPr>
          <w:rFonts w:asciiTheme="majorHAnsi" w:hAnsiTheme="majorHAnsi" w:cstheme="majorHAnsi"/>
          <w:color w:val="000000" w:themeColor="text1"/>
        </w:rPr>
      </w:pPr>
      <w:r>
        <w:rPr>
          <w:rFonts w:asciiTheme="majorHAnsi" w:hAnsiTheme="majorHAnsi" w:cstheme="majorHAnsi"/>
          <w:color w:val="000000" w:themeColor="text1"/>
        </w:rPr>
        <w:lastRenderedPageBreak/>
        <w:t>For the non-publics, due to COVID19, desk monitoring it’s being</w:t>
      </w:r>
      <w:r w:rsidR="00175437">
        <w:rPr>
          <w:rFonts w:asciiTheme="majorHAnsi" w:hAnsiTheme="majorHAnsi" w:cstheme="majorHAnsi"/>
          <w:color w:val="000000" w:themeColor="text1"/>
        </w:rPr>
        <w:t xml:space="preserve"> performed</w:t>
      </w:r>
      <w:r>
        <w:rPr>
          <w:rFonts w:asciiTheme="majorHAnsi" w:hAnsiTheme="majorHAnsi" w:cstheme="majorHAnsi"/>
          <w:color w:val="000000" w:themeColor="text1"/>
        </w:rPr>
        <w:t xml:space="preserve"> by the external vendor and findings will be delivered to the PRDE staff, since PRDE is responsible for complying with all applicable rules and regulations in these cases.</w:t>
      </w:r>
    </w:p>
    <w:p w14:paraId="173B0333" w14:textId="77777777" w:rsidR="00034F0A" w:rsidRPr="00C00F89" w:rsidRDefault="00034F0A" w:rsidP="005A709B">
      <w:pPr>
        <w:pStyle w:val="Default"/>
        <w:spacing w:after="9"/>
        <w:jc w:val="both"/>
        <w:rPr>
          <w:rFonts w:asciiTheme="majorHAnsi" w:hAnsiTheme="majorHAnsi" w:cstheme="majorHAnsi"/>
          <w:color w:val="000000" w:themeColor="text1"/>
        </w:rPr>
      </w:pPr>
    </w:p>
    <w:p w14:paraId="4DF68987" w14:textId="77777777" w:rsidR="00807714" w:rsidRPr="00A65A0B" w:rsidRDefault="00A858DF" w:rsidP="00034F0A">
      <w:pPr>
        <w:pStyle w:val="Heading4"/>
        <w:rPr>
          <w:i w:val="0"/>
          <w:iCs w:val="0"/>
        </w:rPr>
      </w:pPr>
      <w:r w:rsidRPr="00A65A0B">
        <w:rPr>
          <w:i w:val="0"/>
          <w:iCs w:val="0"/>
        </w:rPr>
        <w:t>Monitoring Tools</w:t>
      </w:r>
    </w:p>
    <w:p w14:paraId="0606DD42" w14:textId="55C1192A" w:rsidR="00754C50" w:rsidRDefault="00754C50" w:rsidP="00131772">
      <w:pPr>
        <w:pStyle w:val="Default"/>
        <w:spacing w:after="9"/>
        <w:jc w:val="both"/>
        <w:rPr>
          <w:rFonts w:asciiTheme="majorHAnsi" w:hAnsiTheme="majorHAnsi" w:cstheme="majorHAnsi"/>
          <w:color w:val="000000" w:themeColor="text1"/>
        </w:rPr>
      </w:pPr>
      <w:r>
        <w:rPr>
          <w:rFonts w:asciiTheme="majorHAnsi" w:hAnsiTheme="majorHAnsi" w:cstheme="majorHAnsi"/>
          <w:color w:val="000000" w:themeColor="text1"/>
        </w:rPr>
        <w:t xml:space="preserve">PRDE will be monitoring the two main areas of each </w:t>
      </w:r>
      <w:r w:rsidR="00484A8F">
        <w:rPr>
          <w:rFonts w:asciiTheme="majorHAnsi" w:hAnsiTheme="majorHAnsi" w:cstheme="majorHAnsi"/>
          <w:color w:val="000000" w:themeColor="text1"/>
        </w:rPr>
        <w:t>initiative:</w:t>
      </w:r>
      <w:r>
        <w:rPr>
          <w:rFonts w:asciiTheme="majorHAnsi" w:hAnsiTheme="majorHAnsi" w:cstheme="majorHAnsi"/>
          <w:color w:val="000000" w:themeColor="text1"/>
        </w:rPr>
        <w:t xml:space="preserve"> procurement processes and implementation processes. Procurement process consists analysis of documentation available at Central Level. </w:t>
      </w:r>
    </w:p>
    <w:p w14:paraId="5062DEF4" w14:textId="77777777" w:rsidR="00754C50" w:rsidRDefault="00754C50" w:rsidP="00131772">
      <w:pPr>
        <w:pStyle w:val="Default"/>
        <w:spacing w:after="9"/>
        <w:jc w:val="both"/>
        <w:rPr>
          <w:rFonts w:asciiTheme="majorHAnsi" w:hAnsiTheme="majorHAnsi" w:cstheme="majorHAnsi"/>
          <w:color w:val="000000" w:themeColor="text1"/>
        </w:rPr>
      </w:pPr>
    </w:p>
    <w:p w14:paraId="7C101665" w14:textId="77777777" w:rsidR="00807714" w:rsidRDefault="00754C50" w:rsidP="00131772">
      <w:pPr>
        <w:pStyle w:val="Default"/>
        <w:spacing w:after="9"/>
        <w:jc w:val="both"/>
        <w:rPr>
          <w:rFonts w:asciiTheme="majorHAnsi" w:hAnsiTheme="majorHAnsi" w:cstheme="majorHAnsi"/>
          <w:color w:val="000000" w:themeColor="text1"/>
        </w:rPr>
      </w:pPr>
      <w:r w:rsidRPr="00807714">
        <w:rPr>
          <w:noProof/>
        </w:rPr>
        <w:drawing>
          <wp:anchor distT="0" distB="0" distL="114300" distR="114300" simplePos="0" relativeHeight="251662336" behindDoc="0" locked="0" layoutInCell="1" allowOverlap="1" wp14:anchorId="2B25E59A" wp14:editId="67E61D35">
            <wp:simplePos x="0" y="0"/>
            <wp:positionH relativeFrom="margin">
              <wp:align>left</wp:align>
            </wp:positionH>
            <wp:positionV relativeFrom="paragraph">
              <wp:posOffset>365760</wp:posOffset>
            </wp:positionV>
            <wp:extent cx="6365875" cy="1139190"/>
            <wp:effectExtent l="0" t="0" r="0" b="381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5875" cy="1139190"/>
                    </a:xfrm>
                    <a:prstGeom prst="rect">
                      <a:avLst/>
                    </a:prstGeom>
                    <a:noFill/>
                    <a:ln>
                      <a:noFill/>
                    </a:ln>
                  </pic:spPr>
                </pic:pic>
              </a:graphicData>
            </a:graphic>
          </wp:anchor>
        </w:drawing>
      </w:r>
      <w:r>
        <w:rPr>
          <w:rFonts w:asciiTheme="majorHAnsi" w:hAnsiTheme="majorHAnsi" w:cstheme="majorHAnsi"/>
          <w:color w:val="000000" w:themeColor="text1"/>
        </w:rPr>
        <w:t>The following table will be used to evaluate each initiative:</w:t>
      </w:r>
    </w:p>
    <w:p w14:paraId="218F93F7" w14:textId="77777777" w:rsidR="008E6767" w:rsidRDefault="008E6767" w:rsidP="00131772">
      <w:pPr>
        <w:pStyle w:val="Default"/>
        <w:spacing w:after="9"/>
        <w:jc w:val="both"/>
        <w:rPr>
          <w:rFonts w:asciiTheme="majorHAnsi" w:hAnsiTheme="majorHAnsi" w:cstheme="majorHAnsi"/>
          <w:color w:val="000000" w:themeColor="text1"/>
        </w:rPr>
      </w:pPr>
    </w:p>
    <w:p w14:paraId="1C2C2F38" w14:textId="77777777" w:rsidR="00391170" w:rsidRDefault="00754C50" w:rsidP="00131772">
      <w:pPr>
        <w:pStyle w:val="Default"/>
        <w:spacing w:after="9"/>
        <w:jc w:val="both"/>
        <w:rPr>
          <w:rFonts w:asciiTheme="majorHAnsi" w:hAnsiTheme="majorHAnsi" w:cstheme="majorHAnsi"/>
          <w:color w:val="000000" w:themeColor="text1"/>
        </w:rPr>
      </w:pPr>
      <w:r>
        <w:rPr>
          <w:rFonts w:asciiTheme="majorHAnsi" w:hAnsiTheme="majorHAnsi" w:cstheme="majorHAnsi"/>
          <w:color w:val="000000" w:themeColor="text1"/>
        </w:rPr>
        <w:t xml:space="preserve">The implementation processes of each initiative will be evaluated at the school visit. </w:t>
      </w:r>
      <w:r w:rsidR="00391170" w:rsidRPr="00C00F89">
        <w:rPr>
          <w:rFonts w:asciiTheme="majorHAnsi" w:hAnsiTheme="majorHAnsi" w:cstheme="majorHAnsi"/>
          <w:color w:val="000000" w:themeColor="text1"/>
        </w:rPr>
        <w:t xml:space="preserve">During each monitoring visit, the </w:t>
      </w:r>
      <w:r w:rsidR="00651DA4" w:rsidRPr="00C00F89">
        <w:rPr>
          <w:rFonts w:asciiTheme="majorHAnsi" w:hAnsiTheme="majorHAnsi" w:cstheme="majorHAnsi"/>
          <w:color w:val="000000" w:themeColor="text1"/>
        </w:rPr>
        <w:t xml:space="preserve">monitor </w:t>
      </w:r>
      <w:r w:rsidR="00391170" w:rsidRPr="00C00F89">
        <w:rPr>
          <w:rFonts w:asciiTheme="majorHAnsi" w:hAnsiTheme="majorHAnsi" w:cstheme="majorHAnsi"/>
          <w:color w:val="000000" w:themeColor="text1"/>
        </w:rPr>
        <w:t xml:space="preserve">will use the following </w:t>
      </w:r>
      <w:r w:rsidR="00432831" w:rsidRPr="00C00F89">
        <w:rPr>
          <w:rFonts w:asciiTheme="majorHAnsi" w:hAnsiTheme="majorHAnsi" w:cstheme="majorHAnsi"/>
          <w:color w:val="000000" w:themeColor="text1"/>
        </w:rPr>
        <w:t xml:space="preserve">table </w:t>
      </w:r>
      <w:r w:rsidR="00845F61" w:rsidRPr="00C00F89">
        <w:rPr>
          <w:rFonts w:asciiTheme="majorHAnsi" w:hAnsiTheme="majorHAnsi" w:cstheme="majorHAnsi"/>
          <w:color w:val="000000" w:themeColor="text1"/>
        </w:rPr>
        <w:t>to evaluate the implementation of the Restart Activities</w:t>
      </w:r>
      <w:r w:rsidR="00C4224B" w:rsidRPr="00C00F89">
        <w:rPr>
          <w:rFonts w:asciiTheme="majorHAnsi" w:hAnsiTheme="majorHAnsi" w:cstheme="majorHAnsi"/>
          <w:color w:val="000000" w:themeColor="text1"/>
        </w:rPr>
        <w:t>, as applicable to the specific school:</w:t>
      </w:r>
    </w:p>
    <w:p w14:paraId="661C2B91" w14:textId="77777777" w:rsidR="008E6767" w:rsidRDefault="008E6767" w:rsidP="00131772">
      <w:pPr>
        <w:pStyle w:val="Default"/>
        <w:spacing w:after="9"/>
        <w:jc w:val="both"/>
        <w:rPr>
          <w:rFonts w:asciiTheme="majorHAnsi" w:hAnsiTheme="majorHAnsi" w:cstheme="majorHAnsi"/>
          <w:color w:val="000000" w:themeColor="text1"/>
        </w:rPr>
      </w:pPr>
    </w:p>
    <w:p w14:paraId="590FA73C" w14:textId="77777777" w:rsidR="00860EDD" w:rsidRDefault="00860EDD" w:rsidP="4F9E87E5">
      <w:pPr>
        <w:pStyle w:val="Default"/>
        <w:spacing w:after="9"/>
        <w:jc w:val="both"/>
        <w:rPr>
          <w:noProof/>
        </w:rPr>
      </w:pPr>
    </w:p>
    <w:p w14:paraId="61C04AAA" w14:textId="251F48B6" w:rsidR="00B94BC3" w:rsidRDefault="00B94BC3" w:rsidP="4F9E87E5">
      <w:pPr>
        <w:pStyle w:val="Default"/>
        <w:spacing w:after="9"/>
        <w:jc w:val="both"/>
        <w:rPr>
          <w:rFonts w:asciiTheme="majorHAnsi" w:hAnsiTheme="majorHAnsi" w:cstheme="majorHAnsi"/>
          <w:color w:val="000000" w:themeColor="text1"/>
        </w:rPr>
      </w:pPr>
    </w:p>
    <w:p w14:paraId="53F360F1" w14:textId="795ABFAC" w:rsidR="00007FAD" w:rsidRDefault="000A0661" w:rsidP="4F9E87E5">
      <w:pPr>
        <w:pStyle w:val="Default"/>
        <w:spacing w:after="9"/>
        <w:jc w:val="both"/>
        <w:rPr>
          <w:rFonts w:asciiTheme="majorHAnsi" w:hAnsiTheme="majorHAnsi" w:cstheme="majorHAnsi"/>
          <w:color w:val="000000" w:themeColor="text1"/>
        </w:rPr>
      </w:pPr>
      <w:r w:rsidRPr="000A0661">
        <w:rPr>
          <w:rFonts w:asciiTheme="majorHAnsi" w:hAnsiTheme="majorHAnsi" w:cstheme="majorHAnsi"/>
          <w:color w:val="000000" w:themeColor="text1"/>
        </w:rPr>
        <w:lastRenderedPageBreak/>
        <w:t xml:space="preserve"> </w:t>
      </w:r>
      <w:r w:rsidRPr="000A0661">
        <w:rPr>
          <w:noProof/>
        </w:rPr>
        <w:drawing>
          <wp:inline distT="0" distB="0" distL="0" distR="0" wp14:anchorId="114BD379" wp14:editId="7537D106">
            <wp:extent cx="6108700" cy="4032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8700" cy="4032250"/>
                    </a:xfrm>
                    <a:prstGeom prst="rect">
                      <a:avLst/>
                    </a:prstGeom>
                    <a:noFill/>
                    <a:ln>
                      <a:noFill/>
                    </a:ln>
                  </pic:spPr>
                </pic:pic>
              </a:graphicData>
            </a:graphic>
          </wp:inline>
        </w:drawing>
      </w:r>
    </w:p>
    <w:p w14:paraId="28FD58AA" w14:textId="77777777" w:rsidR="008E6767" w:rsidRPr="001D6B35" w:rsidRDefault="008E6767" w:rsidP="4F9E87E5">
      <w:pPr>
        <w:pStyle w:val="Default"/>
        <w:spacing w:after="9"/>
        <w:jc w:val="both"/>
        <w:rPr>
          <w:rFonts w:asciiTheme="majorHAnsi" w:hAnsiTheme="majorHAnsi" w:cstheme="majorHAnsi"/>
          <w:color w:val="000000" w:themeColor="text1"/>
        </w:rPr>
      </w:pPr>
    </w:p>
    <w:p w14:paraId="1A3F43BB" w14:textId="77777777" w:rsidR="00984928" w:rsidRPr="00C00F89" w:rsidRDefault="4093036A" w:rsidP="4093036A">
      <w:pPr>
        <w:pStyle w:val="Default"/>
        <w:jc w:val="both"/>
        <w:rPr>
          <w:rFonts w:asciiTheme="majorHAnsi" w:hAnsiTheme="majorHAnsi" w:cstheme="majorBidi"/>
          <w:color w:val="000000" w:themeColor="text1"/>
        </w:rPr>
      </w:pPr>
      <w:r w:rsidRPr="00C00F89">
        <w:rPr>
          <w:rFonts w:asciiTheme="majorHAnsi" w:hAnsiTheme="majorHAnsi" w:cstheme="majorBidi"/>
          <w:color w:val="000000" w:themeColor="text1"/>
        </w:rPr>
        <w:t xml:space="preserve">The monitors use a monitoring instrument that will address all the above-mentioned </w:t>
      </w:r>
      <w:r w:rsidR="005D3E5A" w:rsidRPr="00C00F89">
        <w:rPr>
          <w:rFonts w:asciiTheme="majorHAnsi" w:hAnsiTheme="majorHAnsi" w:cstheme="majorBidi"/>
          <w:color w:val="000000" w:themeColor="text1"/>
        </w:rPr>
        <w:t>items</w:t>
      </w:r>
      <w:r w:rsidRPr="00C00F89">
        <w:rPr>
          <w:rFonts w:asciiTheme="majorHAnsi" w:hAnsiTheme="majorHAnsi" w:cstheme="majorBidi"/>
          <w:color w:val="000000" w:themeColor="text1"/>
        </w:rPr>
        <w:t xml:space="preserve">, and any other, as deemed necessary. </w:t>
      </w:r>
      <w:r w:rsidR="005D3E5A" w:rsidRPr="00C00F89">
        <w:rPr>
          <w:rFonts w:asciiTheme="majorHAnsi" w:hAnsiTheme="majorHAnsi" w:cstheme="majorBidi"/>
          <w:color w:val="000000" w:themeColor="text1"/>
        </w:rPr>
        <w:t>Items</w:t>
      </w:r>
      <w:r w:rsidRPr="00C00F89">
        <w:rPr>
          <w:rFonts w:asciiTheme="majorHAnsi" w:hAnsiTheme="majorHAnsi" w:cstheme="majorBidi"/>
          <w:color w:val="000000" w:themeColor="text1"/>
        </w:rPr>
        <w:t xml:space="preserve"> </w:t>
      </w:r>
      <w:r w:rsidR="00E96AAE">
        <w:rPr>
          <w:rFonts w:asciiTheme="majorHAnsi" w:hAnsiTheme="majorHAnsi" w:cstheme="majorBidi"/>
          <w:color w:val="000000" w:themeColor="text1"/>
        </w:rPr>
        <w:t xml:space="preserve">are </w:t>
      </w:r>
      <w:r w:rsidRPr="00C00F89">
        <w:rPr>
          <w:rFonts w:asciiTheme="majorHAnsi" w:hAnsiTheme="majorHAnsi" w:cstheme="majorBidi"/>
          <w:color w:val="000000" w:themeColor="text1"/>
        </w:rPr>
        <w:t xml:space="preserve">evaluated by the monitors and a final score will be assigned to each subject to measure the implementation stage at which the school is at. The monitoring instrument will be further developed once the required evidence to be evaluated is determined for each subject-matter and will be available for review as requested. Also, monitoring rubrics </w:t>
      </w:r>
      <w:r w:rsidR="003F5DB6">
        <w:rPr>
          <w:rFonts w:asciiTheme="majorHAnsi" w:hAnsiTheme="majorHAnsi" w:cstheme="majorBidi"/>
          <w:color w:val="000000" w:themeColor="text1"/>
        </w:rPr>
        <w:t>were developed</w:t>
      </w:r>
      <w:r w:rsidRPr="00C00F89">
        <w:rPr>
          <w:rFonts w:asciiTheme="majorHAnsi" w:hAnsiTheme="majorHAnsi" w:cstheme="majorBidi"/>
          <w:color w:val="000000" w:themeColor="text1"/>
        </w:rPr>
        <w:t xml:space="preserve"> to monitor the procedures that happen at the regional and central level, in order to validate that all procedures are following internal controls and applicable regulations. All monitoring instruments </w:t>
      </w:r>
      <w:r w:rsidR="003B09C7">
        <w:rPr>
          <w:rFonts w:asciiTheme="majorHAnsi" w:hAnsiTheme="majorHAnsi" w:cstheme="majorBidi"/>
          <w:color w:val="000000" w:themeColor="text1"/>
        </w:rPr>
        <w:t>were</w:t>
      </w:r>
      <w:r w:rsidRPr="00C00F89">
        <w:rPr>
          <w:rFonts w:asciiTheme="majorHAnsi" w:hAnsiTheme="majorHAnsi" w:cstheme="majorBidi"/>
          <w:color w:val="000000" w:themeColor="text1"/>
        </w:rPr>
        <w:t xml:space="preserve"> developed by the external </w:t>
      </w:r>
      <w:r w:rsidR="005D3E5A" w:rsidRPr="00C00F89">
        <w:rPr>
          <w:rFonts w:asciiTheme="majorHAnsi" w:hAnsiTheme="majorHAnsi" w:cstheme="majorBidi"/>
          <w:color w:val="000000" w:themeColor="text1"/>
        </w:rPr>
        <w:t>contractor</w:t>
      </w:r>
      <w:r w:rsidRPr="00C00F89">
        <w:rPr>
          <w:rFonts w:asciiTheme="majorHAnsi" w:hAnsiTheme="majorHAnsi" w:cstheme="majorBidi"/>
          <w:color w:val="000000" w:themeColor="text1"/>
        </w:rPr>
        <w:t xml:space="preserve"> hired for monitoring and oversight purposes and revised by PRDE. </w:t>
      </w:r>
    </w:p>
    <w:p w14:paraId="606DA9B5" w14:textId="77777777" w:rsidR="00A1379A" w:rsidRDefault="00A1379A" w:rsidP="4093036A">
      <w:pPr>
        <w:pStyle w:val="Default"/>
        <w:jc w:val="both"/>
        <w:rPr>
          <w:rFonts w:asciiTheme="majorHAnsi" w:hAnsiTheme="majorHAnsi" w:cstheme="majorBidi"/>
          <w:color w:val="000000" w:themeColor="text1"/>
        </w:rPr>
      </w:pPr>
    </w:p>
    <w:p w14:paraId="6A147ECF" w14:textId="73D0FF7C" w:rsidR="00A1379A" w:rsidRPr="00C00F89" w:rsidRDefault="00A1379A" w:rsidP="00A1379A">
      <w:pPr>
        <w:pStyle w:val="Default"/>
        <w:jc w:val="both"/>
        <w:rPr>
          <w:rFonts w:asciiTheme="majorHAnsi" w:hAnsiTheme="majorHAnsi" w:cstheme="majorBidi"/>
          <w:color w:val="000000" w:themeColor="text1"/>
        </w:rPr>
      </w:pPr>
      <w:r w:rsidRPr="00C00F89">
        <w:rPr>
          <w:rFonts w:asciiTheme="majorHAnsi" w:hAnsiTheme="majorHAnsi" w:cstheme="majorBidi"/>
          <w:color w:val="000000" w:themeColor="text1"/>
        </w:rPr>
        <w:t xml:space="preserve">After each visit, the monitors </w:t>
      </w:r>
      <w:r>
        <w:rPr>
          <w:rFonts w:asciiTheme="majorHAnsi" w:hAnsiTheme="majorHAnsi" w:cstheme="majorBidi"/>
          <w:color w:val="000000" w:themeColor="text1"/>
        </w:rPr>
        <w:t xml:space="preserve">will </w:t>
      </w:r>
      <w:r w:rsidRPr="00C00F89">
        <w:rPr>
          <w:rFonts w:asciiTheme="majorHAnsi" w:hAnsiTheme="majorHAnsi" w:cstheme="majorBidi"/>
          <w:color w:val="000000" w:themeColor="text1"/>
        </w:rPr>
        <w:t xml:space="preserve">send a monitoring visit </w:t>
      </w:r>
      <w:r>
        <w:rPr>
          <w:rFonts w:asciiTheme="majorHAnsi" w:hAnsiTheme="majorHAnsi" w:cstheme="majorBidi"/>
          <w:color w:val="000000" w:themeColor="text1"/>
        </w:rPr>
        <w:t>memorandum</w:t>
      </w:r>
      <w:r w:rsidRPr="00C00F89">
        <w:rPr>
          <w:rFonts w:asciiTheme="majorHAnsi" w:hAnsiTheme="majorHAnsi" w:cstheme="majorBidi"/>
          <w:color w:val="000000" w:themeColor="text1"/>
        </w:rPr>
        <w:t xml:space="preserve"> to </w:t>
      </w:r>
      <w:r>
        <w:rPr>
          <w:rFonts w:asciiTheme="majorHAnsi" w:hAnsiTheme="majorHAnsi" w:cstheme="majorBidi"/>
          <w:color w:val="000000" w:themeColor="text1"/>
        </w:rPr>
        <w:t xml:space="preserve">the PRDE Restart office </w:t>
      </w:r>
      <w:r w:rsidRPr="00C00F89">
        <w:rPr>
          <w:rFonts w:asciiTheme="majorHAnsi" w:hAnsiTheme="majorHAnsi" w:cstheme="majorBidi"/>
          <w:color w:val="000000" w:themeColor="text1"/>
        </w:rPr>
        <w:t>which include</w:t>
      </w:r>
      <w:r>
        <w:rPr>
          <w:rFonts w:asciiTheme="majorHAnsi" w:hAnsiTheme="majorHAnsi" w:cstheme="majorBidi"/>
          <w:color w:val="000000" w:themeColor="text1"/>
        </w:rPr>
        <w:t>s</w:t>
      </w:r>
      <w:r w:rsidRPr="00C00F89">
        <w:rPr>
          <w:rFonts w:asciiTheme="majorHAnsi" w:hAnsiTheme="majorHAnsi" w:cstheme="majorBidi"/>
          <w:color w:val="000000" w:themeColor="text1"/>
        </w:rPr>
        <w:t xml:space="preserve"> not only the numerical scores, but also the </w:t>
      </w:r>
      <w:r>
        <w:rPr>
          <w:rFonts w:asciiTheme="majorHAnsi" w:hAnsiTheme="majorHAnsi" w:cstheme="majorBidi"/>
          <w:color w:val="000000" w:themeColor="text1"/>
        </w:rPr>
        <w:t xml:space="preserve">observations from the </w:t>
      </w:r>
      <w:r w:rsidRPr="00C00F89">
        <w:rPr>
          <w:rFonts w:asciiTheme="majorHAnsi" w:hAnsiTheme="majorHAnsi" w:cstheme="majorBidi"/>
          <w:color w:val="000000" w:themeColor="text1"/>
        </w:rPr>
        <w:t xml:space="preserve">monitor. </w:t>
      </w:r>
      <w:r>
        <w:rPr>
          <w:rFonts w:asciiTheme="majorHAnsi" w:hAnsiTheme="majorHAnsi" w:cstheme="majorBidi"/>
          <w:color w:val="000000" w:themeColor="text1"/>
        </w:rPr>
        <w:t xml:space="preserve">The Restart office will </w:t>
      </w:r>
      <w:r w:rsidRPr="00C00F89">
        <w:rPr>
          <w:rFonts w:asciiTheme="majorHAnsi" w:hAnsiTheme="majorHAnsi" w:cstheme="majorBidi"/>
          <w:color w:val="000000" w:themeColor="text1"/>
        </w:rPr>
        <w:t>th</w:t>
      </w:r>
      <w:r>
        <w:rPr>
          <w:rFonts w:asciiTheme="majorHAnsi" w:hAnsiTheme="majorHAnsi" w:cstheme="majorBidi"/>
          <w:color w:val="000000" w:themeColor="text1"/>
        </w:rPr>
        <w:t>en contact the schools</w:t>
      </w:r>
      <w:r w:rsidR="008209C0">
        <w:rPr>
          <w:rFonts w:asciiTheme="majorHAnsi" w:hAnsiTheme="majorHAnsi" w:cstheme="majorBidi"/>
          <w:color w:val="000000" w:themeColor="text1"/>
        </w:rPr>
        <w:t>/lead of initiative/office</w:t>
      </w:r>
      <w:r>
        <w:rPr>
          <w:rFonts w:asciiTheme="majorHAnsi" w:hAnsiTheme="majorHAnsi" w:cstheme="majorBidi"/>
          <w:color w:val="000000" w:themeColor="text1"/>
        </w:rPr>
        <w:t xml:space="preserve"> to</w:t>
      </w:r>
      <w:r w:rsidRPr="00C00F89">
        <w:rPr>
          <w:rFonts w:asciiTheme="majorHAnsi" w:hAnsiTheme="majorHAnsi" w:cstheme="majorBidi"/>
          <w:color w:val="000000" w:themeColor="text1"/>
        </w:rPr>
        <w:t xml:space="preserve"> develop any necessary corrective action plans, according to the findings noted. Personnel from the Central Office and Regions will also be responsible for reviewing the results of the monitoring to be able</w:t>
      </w:r>
      <w:r w:rsidR="008209C0">
        <w:rPr>
          <w:rFonts w:asciiTheme="majorHAnsi" w:hAnsiTheme="majorHAnsi" w:cstheme="majorBidi"/>
          <w:color w:val="000000" w:themeColor="text1"/>
        </w:rPr>
        <w:t xml:space="preserve"> to</w:t>
      </w:r>
      <w:r w:rsidRPr="00C00F89">
        <w:rPr>
          <w:rFonts w:asciiTheme="majorHAnsi" w:hAnsiTheme="majorHAnsi" w:cstheme="majorBidi"/>
          <w:color w:val="000000" w:themeColor="text1"/>
        </w:rPr>
        <w:t xml:space="preserve"> </w:t>
      </w:r>
      <w:r w:rsidR="008209C0">
        <w:rPr>
          <w:rFonts w:asciiTheme="majorHAnsi" w:hAnsiTheme="majorHAnsi" w:cstheme="majorBidi"/>
          <w:color w:val="000000" w:themeColor="text1"/>
        </w:rPr>
        <w:t>resolve any exceptions/discrepancies noted, if needed.</w:t>
      </w:r>
      <w:r w:rsidRPr="00C00F89">
        <w:rPr>
          <w:rFonts w:asciiTheme="majorHAnsi" w:hAnsiTheme="majorHAnsi" w:cstheme="majorBidi"/>
          <w:color w:val="000000" w:themeColor="text1"/>
        </w:rPr>
        <w:t xml:space="preserve"> Additionally, the information gathered through the monitoring </w:t>
      </w:r>
      <w:r>
        <w:rPr>
          <w:rFonts w:asciiTheme="majorHAnsi" w:hAnsiTheme="majorHAnsi" w:cstheme="majorBidi"/>
          <w:color w:val="000000" w:themeColor="text1"/>
        </w:rPr>
        <w:t>memorandum</w:t>
      </w:r>
      <w:r w:rsidRPr="00C00F89">
        <w:rPr>
          <w:rFonts w:asciiTheme="majorHAnsi" w:hAnsiTheme="majorHAnsi" w:cstheme="majorBidi"/>
          <w:color w:val="000000" w:themeColor="text1"/>
        </w:rPr>
        <w:t xml:space="preserve"> will be used to provide technical assistance and follow up.</w:t>
      </w:r>
    </w:p>
    <w:p w14:paraId="2F51C748" w14:textId="77777777" w:rsidR="005D3E5A" w:rsidRPr="00C00F89" w:rsidRDefault="005D3E5A" w:rsidP="4093036A">
      <w:pPr>
        <w:pStyle w:val="Default"/>
        <w:jc w:val="both"/>
        <w:rPr>
          <w:rFonts w:asciiTheme="majorHAnsi" w:hAnsiTheme="majorHAnsi" w:cstheme="majorBidi"/>
          <w:color w:val="000000" w:themeColor="text1"/>
        </w:rPr>
      </w:pPr>
    </w:p>
    <w:p w14:paraId="6F56E733" w14:textId="77777777" w:rsidR="00190075" w:rsidRPr="00C00F89" w:rsidRDefault="005D3E5A">
      <w:pPr>
        <w:pStyle w:val="Default"/>
        <w:jc w:val="both"/>
        <w:rPr>
          <w:rFonts w:asciiTheme="majorHAnsi" w:hAnsiTheme="majorHAnsi" w:cstheme="majorHAnsi"/>
          <w:color w:val="000000" w:themeColor="text1"/>
        </w:rPr>
      </w:pPr>
      <w:r w:rsidRPr="00C00F89">
        <w:rPr>
          <w:rFonts w:asciiTheme="majorHAnsi" w:hAnsiTheme="majorHAnsi" w:cstheme="majorBidi"/>
          <w:color w:val="000000" w:themeColor="text1"/>
        </w:rPr>
        <w:t xml:space="preserve">Currently, if findings of program noncompliance are identified, schools and regions are required to provide evidence of corrective action. Schools and regions must respond to findings by submitting evidence of compliance including but not limited to work plans, individualized student plans, teachers planning, examples of students’ </w:t>
      </w:r>
      <w:r w:rsidR="006D48E5" w:rsidRPr="00C00F89">
        <w:rPr>
          <w:rFonts w:asciiTheme="majorHAnsi" w:hAnsiTheme="majorHAnsi" w:cstheme="majorBidi"/>
          <w:color w:val="000000" w:themeColor="text1"/>
        </w:rPr>
        <w:t>schoolwork</w:t>
      </w:r>
      <w:r w:rsidRPr="00C00F89">
        <w:rPr>
          <w:rFonts w:asciiTheme="majorHAnsi" w:hAnsiTheme="majorHAnsi" w:cstheme="majorBidi"/>
          <w:color w:val="000000" w:themeColor="text1"/>
        </w:rPr>
        <w:t xml:space="preserve"> and activities, portfolios, test results, parental notification </w:t>
      </w:r>
      <w:r w:rsidRPr="00C00F89">
        <w:rPr>
          <w:rFonts w:asciiTheme="majorHAnsi" w:hAnsiTheme="majorHAnsi" w:cstheme="majorBidi"/>
          <w:color w:val="000000" w:themeColor="text1"/>
        </w:rPr>
        <w:lastRenderedPageBreak/>
        <w:t>and any of the programs’ forms. When school-level compliance issues are identified, the regions must submit a corrective action plan that outlines strategies and activities to provide additional support to schools.</w:t>
      </w:r>
      <w:r w:rsidR="00540A2C">
        <w:rPr>
          <w:rFonts w:asciiTheme="majorHAnsi" w:hAnsiTheme="majorHAnsi" w:cstheme="majorBidi"/>
          <w:color w:val="000000" w:themeColor="text1"/>
        </w:rPr>
        <w:t xml:space="preserve"> </w:t>
      </w:r>
      <w:r w:rsidR="0075029C" w:rsidRPr="00C00F89">
        <w:rPr>
          <w:rFonts w:asciiTheme="majorHAnsi" w:hAnsiTheme="majorHAnsi" w:cstheme="majorHAnsi"/>
          <w:color w:val="000000" w:themeColor="text1"/>
        </w:rPr>
        <w:t xml:space="preserve">The template for </w:t>
      </w:r>
      <w:r w:rsidR="00157D2C" w:rsidRPr="00C00F89">
        <w:rPr>
          <w:rFonts w:asciiTheme="majorHAnsi" w:hAnsiTheme="majorHAnsi" w:cstheme="majorHAnsi"/>
          <w:color w:val="000000" w:themeColor="text1"/>
        </w:rPr>
        <w:t>developing a</w:t>
      </w:r>
      <w:r w:rsidR="00190075" w:rsidRPr="00C00F89">
        <w:rPr>
          <w:rFonts w:asciiTheme="majorHAnsi" w:hAnsiTheme="majorHAnsi" w:cstheme="majorHAnsi"/>
          <w:color w:val="000000" w:themeColor="text1"/>
        </w:rPr>
        <w:t xml:space="preserve"> </w:t>
      </w:r>
      <w:r w:rsidR="00A4085C" w:rsidRPr="00C00F89">
        <w:rPr>
          <w:rFonts w:asciiTheme="majorHAnsi" w:hAnsiTheme="majorHAnsi" w:cstheme="majorHAnsi"/>
          <w:color w:val="000000" w:themeColor="text1"/>
        </w:rPr>
        <w:t>summary of the results of such monitoring visits/re</w:t>
      </w:r>
      <w:r w:rsidR="00E30B97" w:rsidRPr="00C00F89">
        <w:rPr>
          <w:rFonts w:asciiTheme="majorHAnsi" w:hAnsiTheme="majorHAnsi" w:cstheme="majorHAnsi"/>
          <w:color w:val="000000" w:themeColor="text1"/>
        </w:rPr>
        <w:t>ports</w:t>
      </w:r>
      <w:r w:rsidR="00A4085C" w:rsidRPr="00C00F89">
        <w:rPr>
          <w:rFonts w:asciiTheme="majorHAnsi" w:hAnsiTheme="majorHAnsi" w:cstheme="majorHAnsi"/>
          <w:color w:val="000000" w:themeColor="text1"/>
        </w:rPr>
        <w:t xml:space="preserve"> </w:t>
      </w:r>
      <w:r w:rsidR="00190075" w:rsidRPr="00C00F89">
        <w:rPr>
          <w:rFonts w:asciiTheme="majorHAnsi" w:hAnsiTheme="majorHAnsi" w:cstheme="majorHAnsi"/>
          <w:color w:val="000000" w:themeColor="text1"/>
        </w:rPr>
        <w:t>is provided below</w:t>
      </w:r>
      <w:r w:rsidR="00A4085C" w:rsidRPr="00C00F89">
        <w:rPr>
          <w:rFonts w:asciiTheme="majorHAnsi" w:hAnsiTheme="majorHAnsi" w:cstheme="majorHAnsi"/>
          <w:color w:val="000000" w:themeColor="text1"/>
        </w:rPr>
        <w:t>:</w:t>
      </w:r>
    </w:p>
    <w:p w14:paraId="73F08BC1" w14:textId="77777777" w:rsidR="0045701F" w:rsidRDefault="0045701F" w:rsidP="00131772">
      <w:pPr>
        <w:pStyle w:val="Default"/>
        <w:jc w:val="both"/>
        <w:rPr>
          <w:rFonts w:asciiTheme="majorHAnsi" w:hAnsiTheme="majorHAnsi" w:cstheme="majorHAnsi"/>
          <w:color w:val="000000" w:themeColor="text1"/>
        </w:rPr>
      </w:pPr>
    </w:p>
    <w:p w14:paraId="6E2E719B" w14:textId="77777777" w:rsidR="002A6EE8" w:rsidRPr="00C00F89" w:rsidRDefault="00246AB9" w:rsidP="00131772">
      <w:pPr>
        <w:pStyle w:val="Default"/>
        <w:jc w:val="both"/>
        <w:rPr>
          <w:rFonts w:asciiTheme="majorHAnsi" w:hAnsiTheme="majorHAnsi" w:cstheme="majorHAnsi"/>
          <w:color w:val="000000" w:themeColor="text1"/>
        </w:rPr>
      </w:pPr>
      <w:r w:rsidRPr="00246AB9">
        <w:rPr>
          <w:rFonts w:asciiTheme="majorHAnsi" w:hAnsiTheme="majorHAnsi" w:cstheme="majorHAnsi"/>
          <w:color w:val="000000" w:themeColor="text1"/>
        </w:rPr>
        <w:t xml:space="preserve"> </w:t>
      </w:r>
      <w:r w:rsidRPr="00246AB9">
        <w:rPr>
          <w:noProof/>
        </w:rPr>
        <w:drawing>
          <wp:inline distT="0" distB="0" distL="0" distR="0" wp14:anchorId="2C214946" wp14:editId="1404BC0D">
            <wp:extent cx="6400800" cy="19513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951355"/>
                    </a:xfrm>
                    <a:prstGeom prst="rect">
                      <a:avLst/>
                    </a:prstGeom>
                    <a:noFill/>
                    <a:ln>
                      <a:noFill/>
                    </a:ln>
                  </pic:spPr>
                </pic:pic>
              </a:graphicData>
            </a:graphic>
          </wp:inline>
        </w:drawing>
      </w:r>
    </w:p>
    <w:p w14:paraId="06C94950" w14:textId="77777777" w:rsidR="00D80AAB" w:rsidRPr="00CC770D" w:rsidRDefault="00D80AAB" w:rsidP="00131772">
      <w:pPr>
        <w:pStyle w:val="Default"/>
        <w:jc w:val="both"/>
        <w:rPr>
          <w:rFonts w:asciiTheme="majorHAnsi" w:hAnsiTheme="majorHAnsi" w:cstheme="majorHAnsi"/>
          <w:color w:val="000000" w:themeColor="text1"/>
          <w:sz w:val="22"/>
          <w:szCs w:val="22"/>
        </w:rPr>
      </w:pPr>
    </w:p>
    <w:p w14:paraId="02AE6295" w14:textId="629F5705" w:rsidR="008209C0" w:rsidRPr="00455A9F" w:rsidRDefault="008209C0" w:rsidP="00455A9F">
      <w:pPr>
        <w:pStyle w:val="CommentText"/>
        <w:jc w:val="both"/>
        <w:rPr>
          <w:rFonts w:asciiTheme="majorHAnsi" w:hAnsiTheme="majorHAnsi" w:cstheme="majorHAnsi"/>
          <w:sz w:val="24"/>
          <w:szCs w:val="24"/>
        </w:rPr>
      </w:pPr>
      <w:r w:rsidRPr="00455A9F">
        <w:rPr>
          <w:rFonts w:asciiTheme="majorHAnsi" w:hAnsiTheme="majorHAnsi" w:cstheme="majorHAnsi"/>
          <w:color w:val="000000" w:themeColor="text1"/>
          <w:sz w:val="24"/>
          <w:szCs w:val="24"/>
        </w:rPr>
        <w:t>Before the COVID19 pandemic, the program projected that s</w:t>
      </w:r>
      <w:r w:rsidR="00282F72" w:rsidRPr="00455A9F">
        <w:rPr>
          <w:rFonts w:asciiTheme="majorHAnsi" w:hAnsiTheme="majorHAnsi" w:cstheme="majorHAnsi"/>
          <w:color w:val="000000" w:themeColor="text1"/>
          <w:sz w:val="24"/>
          <w:szCs w:val="24"/>
        </w:rPr>
        <w:t xml:space="preserve">chools </w:t>
      </w:r>
      <w:r w:rsidR="00891F66" w:rsidRPr="00455A9F">
        <w:rPr>
          <w:rFonts w:asciiTheme="majorHAnsi" w:hAnsiTheme="majorHAnsi" w:cstheme="majorHAnsi"/>
          <w:color w:val="000000" w:themeColor="text1"/>
          <w:sz w:val="24"/>
          <w:szCs w:val="24"/>
        </w:rPr>
        <w:t>c</w:t>
      </w:r>
      <w:r w:rsidRPr="00455A9F">
        <w:rPr>
          <w:rFonts w:asciiTheme="majorHAnsi" w:hAnsiTheme="majorHAnsi" w:cstheme="majorHAnsi"/>
          <w:color w:val="000000" w:themeColor="text1"/>
          <w:sz w:val="24"/>
          <w:szCs w:val="24"/>
        </w:rPr>
        <w:t>ould</w:t>
      </w:r>
      <w:r w:rsidR="00D80AAB" w:rsidRPr="00455A9F">
        <w:rPr>
          <w:rFonts w:asciiTheme="majorHAnsi" w:hAnsiTheme="majorHAnsi" w:cstheme="majorHAnsi"/>
          <w:color w:val="000000" w:themeColor="text1"/>
          <w:sz w:val="24"/>
          <w:szCs w:val="24"/>
        </w:rPr>
        <w:t xml:space="preserve"> be revisited within 3 months in order to track the progress in implementation and use of the additional re</w:t>
      </w:r>
      <w:r w:rsidR="00DF3551" w:rsidRPr="00455A9F">
        <w:rPr>
          <w:rFonts w:asciiTheme="majorHAnsi" w:hAnsiTheme="majorHAnsi" w:cstheme="majorHAnsi"/>
          <w:color w:val="000000" w:themeColor="text1"/>
          <w:sz w:val="24"/>
          <w:szCs w:val="24"/>
        </w:rPr>
        <w:t xml:space="preserve">sources during the school year. </w:t>
      </w:r>
      <w:r w:rsidR="00D80AAB" w:rsidRPr="00455A9F">
        <w:rPr>
          <w:rFonts w:asciiTheme="majorHAnsi" w:hAnsiTheme="majorHAnsi" w:cstheme="majorHAnsi"/>
          <w:color w:val="000000" w:themeColor="text1"/>
          <w:sz w:val="24"/>
          <w:szCs w:val="24"/>
        </w:rPr>
        <w:t xml:space="preserve">This type of regular monitoring </w:t>
      </w:r>
      <w:r w:rsidRPr="00455A9F">
        <w:rPr>
          <w:rFonts w:asciiTheme="majorHAnsi" w:hAnsiTheme="majorHAnsi" w:cstheme="majorHAnsi"/>
          <w:color w:val="000000" w:themeColor="text1"/>
          <w:sz w:val="24"/>
          <w:szCs w:val="24"/>
        </w:rPr>
        <w:t>could</w:t>
      </w:r>
      <w:r w:rsidR="00D80AAB" w:rsidRPr="00455A9F">
        <w:rPr>
          <w:rFonts w:asciiTheme="majorHAnsi" w:hAnsiTheme="majorHAnsi" w:cstheme="majorHAnsi"/>
          <w:color w:val="000000" w:themeColor="text1"/>
          <w:sz w:val="24"/>
          <w:szCs w:val="24"/>
        </w:rPr>
        <w:t xml:space="preserve"> enable the PRDE to identify trends and develop recommendations for implementation that can be documented and </w:t>
      </w:r>
      <w:r w:rsidR="002F765B" w:rsidRPr="00455A9F">
        <w:rPr>
          <w:rFonts w:asciiTheme="majorHAnsi" w:hAnsiTheme="majorHAnsi" w:cstheme="majorHAnsi"/>
          <w:color w:val="000000" w:themeColor="text1"/>
          <w:sz w:val="24"/>
          <w:szCs w:val="24"/>
        </w:rPr>
        <w:t>disseminated to all school</w:t>
      </w:r>
      <w:r w:rsidR="4093036A" w:rsidRPr="00455A9F">
        <w:rPr>
          <w:rFonts w:asciiTheme="majorHAnsi" w:hAnsiTheme="majorHAnsi" w:cstheme="majorHAnsi"/>
          <w:color w:val="000000" w:themeColor="text1"/>
          <w:sz w:val="24"/>
          <w:szCs w:val="24"/>
        </w:rPr>
        <w:t>s as part of technical assistance to be provided.</w:t>
      </w:r>
      <w:r w:rsidRPr="00455A9F">
        <w:rPr>
          <w:rFonts w:asciiTheme="majorHAnsi" w:hAnsiTheme="majorHAnsi" w:cstheme="majorHAnsi"/>
          <w:color w:val="000000" w:themeColor="text1"/>
          <w:sz w:val="24"/>
          <w:szCs w:val="24"/>
        </w:rPr>
        <w:t xml:space="preserve"> However, the Restart Program had to implement alternate procedures to complete this task because it was not possible</w:t>
      </w:r>
      <w:r>
        <w:rPr>
          <w:rFonts w:asciiTheme="majorHAnsi" w:hAnsiTheme="majorHAnsi" w:cstheme="majorHAnsi"/>
          <w:color w:val="000000" w:themeColor="text1"/>
          <w:sz w:val="24"/>
          <w:szCs w:val="24"/>
        </w:rPr>
        <w:t xml:space="preserve"> to visit in person</w:t>
      </w:r>
      <w:r w:rsidRPr="00455A9F">
        <w:rPr>
          <w:rFonts w:asciiTheme="majorHAnsi" w:hAnsiTheme="majorHAnsi" w:cstheme="majorHAnsi"/>
          <w:color w:val="000000" w:themeColor="text1"/>
          <w:sz w:val="24"/>
          <w:szCs w:val="24"/>
        </w:rPr>
        <w:t xml:space="preserve">. </w:t>
      </w:r>
      <w:r w:rsidRPr="00455A9F">
        <w:rPr>
          <w:rFonts w:asciiTheme="majorHAnsi" w:hAnsiTheme="majorHAnsi" w:cstheme="majorHAnsi"/>
          <w:sz w:val="24"/>
          <w:szCs w:val="24"/>
        </w:rPr>
        <w:t>Restart office will request to schools</w:t>
      </w:r>
      <w:r w:rsidR="000630D5">
        <w:rPr>
          <w:rFonts w:asciiTheme="majorHAnsi" w:hAnsiTheme="majorHAnsi" w:cstheme="majorHAnsi"/>
          <w:sz w:val="24"/>
          <w:szCs w:val="24"/>
        </w:rPr>
        <w:t>/leads of initiatives/offices</w:t>
      </w:r>
      <w:r w:rsidRPr="00455A9F">
        <w:rPr>
          <w:rFonts w:asciiTheme="majorHAnsi" w:hAnsiTheme="majorHAnsi" w:cstheme="majorHAnsi"/>
          <w:sz w:val="24"/>
          <w:szCs w:val="24"/>
        </w:rPr>
        <w:t xml:space="preserve"> the documentation</w:t>
      </w:r>
      <w:r w:rsidR="000630D5">
        <w:rPr>
          <w:rFonts w:asciiTheme="majorHAnsi" w:hAnsiTheme="majorHAnsi" w:cstheme="majorHAnsi"/>
          <w:sz w:val="24"/>
          <w:szCs w:val="24"/>
        </w:rPr>
        <w:t xml:space="preserve"> or information</w:t>
      </w:r>
      <w:r w:rsidRPr="00455A9F">
        <w:rPr>
          <w:rFonts w:asciiTheme="majorHAnsi" w:hAnsiTheme="majorHAnsi" w:cstheme="majorHAnsi"/>
          <w:sz w:val="24"/>
          <w:szCs w:val="24"/>
        </w:rPr>
        <w:t xml:space="preserve"> not available at the time of monitoring through electronic methods to comply with </w:t>
      </w:r>
      <w:r w:rsidR="000630D5">
        <w:rPr>
          <w:rFonts w:asciiTheme="majorHAnsi" w:hAnsiTheme="majorHAnsi" w:cstheme="majorHAnsi"/>
          <w:sz w:val="24"/>
          <w:szCs w:val="24"/>
        </w:rPr>
        <w:t>protocols</w:t>
      </w:r>
      <w:r w:rsidRPr="00455A9F">
        <w:rPr>
          <w:rFonts w:asciiTheme="majorHAnsi" w:hAnsiTheme="majorHAnsi" w:cstheme="majorHAnsi"/>
          <w:sz w:val="24"/>
          <w:szCs w:val="24"/>
        </w:rPr>
        <w:t xml:space="preserve"> and safeguard the personnel at the schools and at the central level, including consultants. </w:t>
      </w:r>
    </w:p>
    <w:p w14:paraId="040336FB" w14:textId="30BBA136" w:rsidR="00C00F89" w:rsidRDefault="00C00F89" w:rsidP="4093036A">
      <w:pPr>
        <w:pStyle w:val="Default"/>
        <w:jc w:val="both"/>
        <w:rPr>
          <w:rFonts w:asciiTheme="majorHAnsi" w:hAnsiTheme="majorHAnsi" w:cstheme="majorBidi"/>
          <w:color w:val="000000" w:themeColor="text1"/>
        </w:rPr>
      </w:pPr>
    </w:p>
    <w:p w14:paraId="2924708E" w14:textId="53E7FF01" w:rsidR="00FB453B" w:rsidRDefault="00FC7C0B" w:rsidP="4093036A">
      <w:pPr>
        <w:pStyle w:val="Default"/>
        <w:jc w:val="both"/>
        <w:rPr>
          <w:rFonts w:asciiTheme="majorHAnsi" w:hAnsiTheme="majorHAnsi" w:cstheme="majorBidi"/>
          <w:color w:val="000000" w:themeColor="text1"/>
        </w:rPr>
      </w:pPr>
      <w:r>
        <w:rPr>
          <w:rFonts w:asciiTheme="majorHAnsi" w:hAnsiTheme="majorHAnsi" w:cstheme="majorBidi"/>
          <w:color w:val="000000" w:themeColor="text1"/>
        </w:rPr>
        <w:t xml:space="preserve">For </w:t>
      </w:r>
      <w:r w:rsidR="00FB453B" w:rsidRPr="00AE1922">
        <w:rPr>
          <w:rFonts w:asciiTheme="majorHAnsi" w:hAnsiTheme="majorHAnsi" w:cstheme="majorBidi"/>
          <w:color w:val="000000" w:themeColor="text1"/>
        </w:rPr>
        <w:t>the non-publics</w:t>
      </w:r>
      <w:r>
        <w:rPr>
          <w:rFonts w:asciiTheme="majorHAnsi" w:hAnsiTheme="majorHAnsi" w:cstheme="majorBidi"/>
          <w:color w:val="000000" w:themeColor="text1"/>
        </w:rPr>
        <w:t>, the external vendor developed a rubric</w:t>
      </w:r>
      <w:r w:rsidR="00FB453B" w:rsidRPr="00AE1922">
        <w:rPr>
          <w:rFonts w:asciiTheme="majorHAnsi" w:hAnsiTheme="majorHAnsi" w:cstheme="majorBidi"/>
          <w:color w:val="000000" w:themeColor="text1"/>
        </w:rPr>
        <w:t xml:space="preserve"> </w:t>
      </w:r>
      <w:r w:rsidR="00FB453B">
        <w:rPr>
          <w:rFonts w:asciiTheme="majorHAnsi" w:hAnsiTheme="majorHAnsi" w:cstheme="majorBidi"/>
          <w:color w:val="000000" w:themeColor="text1"/>
        </w:rPr>
        <w:t>and it’s being applied by the</w:t>
      </w:r>
      <w:r>
        <w:rPr>
          <w:rFonts w:asciiTheme="majorHAnsi" w:hAnsiTheme="majorHAnsi" w:cstheme="majorBidi"/>
          <w:color w:val="000000" w:themeColor="text1"/>
        </w:rPr>
        <w:t xml:space="preserve">m </w:t>
      </w:r>
      <w:r w:rsidR="00FB453B">
        <w:rPr>
          <w:rFonts w:asciiTheme="majorHAnsi" w:hAnsiTheme="majorHAnsi" w:cstheme="majorBidi"/>
          <w:color w:val="000000" w:themeColor="text1"/>
        </w:rPr>
        <w:t xml:space="preserve">with </w:t>
      </w:r>
      <w:r>
        <w:rPr>
          <w:rFonts w:asciiTheme="majorHAnsi" w:hAnsiTheme="majorHAnsi" w:cstheme="majorBidi"/>
          <w:color w:val="000000" w:themeColor="text1"/>
        </w:rPr>
        <w:t xml:space="preserve">the </w:t>
      </w:r>
      <w:r w:rsidR="00FB453B">
        <w:rPr>
          <w:rFonts w:asciiTheme="majorHAnsi" w:hAnsiTheme="majorHAnsi" w:cstheme="majorBidi"/>
          <w:color w:val="000000" w:themeColor="text1"/>
        </w:rPr>
        <w:t>files that contain all documents for each of the participant schools in the sample of 27</w:t>
      </w:r>
      <w:r>
        <w:rPr>
          <w:rFonts w:asciiTheme="majorHAnsi" w:hAnsiTheme="majorHAnsi" w:cstheme="majorBidi"/>
          <w:color w:val="000000" w:themeColor="text1"/>
        </w:rPr>
        <w:t xml:space="preserve"> during the desk monitoring activities (</w:t>
      </w:r>
      <w:r w:rsidR="00140ACD">
        <w:rPr>
          <w:rFonts w:asciiTheme="majorHAnsi" w:hAnsiTheme="majorHAnsi" w:cstheme="majorBidi"/>
          <w:color w:val="000000" w:themeColor="text1"/>
        </w:rPr>
        <w:t>see below)</w:t>
      </w:r>
    </w:p>
    <w:p w14:paraId="56E5727E" w14:textId="3B664336" w:rsidR="00140ACD" w:rsidRDefault="00140ACD" w:rsidP="4093036A">
      <w:pPr>
        <w:pStyle w:val="Default"/>
        <w:jc w:val="both"/>
        <w:rPr>
          <w:rFonts w:asciiTheme="majorHAnsi" w:hAnsiTheme="majorHAnsi" w:cstheme="majorBidi"/>
          <w:color w:val="000000" w:themeColor="text1"/>
        </w:rPr>
      </w:pPr>
    </w:p>
    <w:p w14:paraId="7B6E2AC4" w14:textId="64B0B46F" w:rsidR="00140ACD" w:rsidRDefault="00140ACD" w:rsidP="00CC5667">
      <w:pPr>
        <w:pStyle w:val="Default"/>
        <w:jc w:val="both"/>
      </w:pPr>
      <w:r w:rsidRPr="00140ACD">
        <w:rPr>
          <w:noProof/>
        </w:rPr>
        <w:drawing>
          <wp:inline distT="0" distB="0" distL="0" distR="0" wp14:anchorId="6C5743DC" wp14:editId="2164EACC">
            <wp:extent cx="6400800" cy="134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340485"/>
                    </a:xfrm>
                    <a:prstGeom prst="rect">
                      <a:avLst/>
                    </a:prstGeom>
                    <a:noFill/>
                    <a:ln>
                      <a:noFill/>
                    </a:ln>
                  </pic:spPr>
                </pic:pic>
              </a:graphicData>
            </a:graphic>
          </wp:inline>
        </w:drawing>
      </w:r>
    </w:p>
    <w:p w14:paraId="7C497A28" w14:textId="77777777" w:rsidR="00175437" w:rsidRDefault="00175437" w:rsidP="004A1115">
      <w:pPr>
        <w:pStyle w:val="Heading2"/>
      </w:pPr>
    </w:p>
    <w:p w14:paraId="0A60E812" w14:textId="51531B41" w:rsidR="00034F0A" w:rsidRPr="004A1115" w:rsidRDefault="00034F0A" w:rsidP="004A1115">
      <w:pPr>
        <w:pStyle w:val="Heading2"/>
      </w:pPr>
      <w:r w:rsidRPr="004A1115">
        <w:t>PRDE Technical Assistance</w:t>
      </w:r>
    </w:p>
    <w:p w14:paraId="42B3A672" w14:textId="77777777" w:rsidR="00034F0A" w:rsidRPr="00C00F89" w:rsidRDefault="00034F0A" w:rsidP="00034F0A">
      <w:pPr>
        <w:pStyle w:val="Default"/>
        <w:jc w:val="both"/>
        <w:rPr>
          <w:rFonts w:asciiTheme="majorHAnsi" w:hAnsiTheme="majorHAnsi" w:cstheme="majorBidi"/>
          <w:color w:val="000000" w:themeColor="text1"/>
        </w:rPr>
      </w:pPr>
      <w:r w:rsidRPr="00C00F89">
        <w:rPr>
          <w:rFonts w:asciiTheme="majorHAnsi" w:hAnsiTheme="majorHAnsi" w:cstheme="majorBidi"/>
          <w:color w:val="000000" w:themeColor="text1"/>
        </w:rPr>
        <w:t>The Central office of PRDE will be overseeing the overall management of the Restart grant. As mentioned, they will be in charge of all aspects of administering the funds to provide the necessary assistance for all public and private school needs.</w:t>
      </w:r>
    </w:p>
    <w:p w14:paraId="01054E31" w14:textId="77777777" w:rsidR="00034F0A" w:rsidRPr="00C00F89" w:rsidRDefault="00034F0A" w:rsidP="00034F0A">
      <w:pPr>
        <w:pStyle w:val="Default"/>
        <w:jc w:val="both"/>
        <w:rPr>
          <w:rFonts w:asciiTheme="majorHAnsi" w:hAnsiTheme="majorHAnsi" w:cstheme="majorBidi"/>
          <w:color w:val="000000" w:themeColor="text1"/>
        </w:rPr>
      </w:pPr>
    </w:p>
    <w:p w14:paraId="43955B0F" w14:textId="77777777" w:rsidR="00034F0A" w:rsidRPr="00C00F89" w:rsidRDefault="00034F0A" w:rsidP="00034F0A">
      <w:pPr>
        <w:pStyle w:val="Default"/>
        <w:jc w:val="both"/>
        <w:rPr>
          <w:rFonts w:asciiTheme="majorHAnsi" w:hAnsiTheme="majorHAnsi" w:cstheme="majorBidi"/>
          <w:color w:val="000000" w:themeColor="text1"/>
        </w:rPr>
      </w:pPr>
      <w:r w:rsidRPr="00C00F89">
        <w:rPr>
          <w:rFonts w:asciiTheme="majorHAnsi" w:hAnsiTheme="majorHAnsi" w:cstheme="majorBidi"/>
          <w:color w:val="000000" w:themeColor="text1"/>
        </w:rPr>
        <w:t>PRDE has provided orientations on various topics related to the Restart Program to monitors and other PRDE staff. As this activity is an on-going one, PRDE will continue efforts to provide more trainings to the key personnel working with this federal program.</w:t>
      </w:r>
    </w:p>
    <w:p w14:paraId="53D31D33" w14:textId="77777777" w:rsidR="00034F0A" w:rsidRPr="00C00F89" w:rsidRDefault="00034F0A" w:rsidP="00034F0A">
      <w:pPr>
        <w:pStyle w:val="Default"/>
        <w:jc w:val="both"/>
        <w:rPr>
          <w:rFonts w:asciiTheme="majorHAnsi" w:hAnsiTheme="majorHAnsi" w:cstheme="majorHAnsi"/>
          <w:color w:val="000000" w:themeColor="text1"/>
        </w:rPr>
      </w:pPr>
    </w:p>
    <w:p w14:paraId="65140F28" w14:textId="77777777" w:rsidR="00034F0A" w:rsidRPr="00C00F89" w:rsidRDefault="00034F0A" w:rsidP="00034F0A">
      <w:pPr>
        <w:pStyle w:val="Default"/>
        <w:jc w:val="both"/>
        <w:rPr>
          <w:rFonts w:asciiTheme="majorHAnsi" w:hAnsiTheme="majorHAnsi" w:cstheme="majorBidi"/>
          <w:color w:val="000000" w:themeColor="text1"/>
        </w:rPr>
      </w:pPr>
      <w:r w:rsidRPr="00C00F89">
        <w:rPr>
          <w:rFonts w:asciiTheme="majorHAnsi" w:hAnsiTheme="majorHAnsi" w:cstheme="majorBidi"/>
          <w:color w:val="000000" w:themeColor="text1"/>
        </w:rPr>
        <w:t xml:space="preserve">PRDE is also </w:t>
      </w:r>
      <w:r w:rsidR="004E4B2C">
        <w:rPr>
          <w:rFonts w:asciiTheme="majorHAnsi" w:hAnsiTheme="majorHAnsi" w:cstheme="majorBidi"/>
          <w:color w:val="000000" w:themeColor="text1"/>
        </w:rPr>
        <w:t>developing</w:t>
      </w:r>
      <w:r w:rsidRPr="00C00F89">
        <w:rPr>
          <w:rFonts w:asciiTheme="majorHAnsi" w:hAnsiTheme="majorHAnsi" w:cstheme="majorBidi"/>
          <w:color w:val="000000" w:themeColor="text1"/>
        </w:rPr>
        <w:t xml:space="preserve"> a training for individuals at the regional level who will support the roll out of Restart funded programs and to the Central Procurement Unit staff. This training focuses on the following content: </w:t>
      </w:r>
    </w:p>
    <w:p w14:paraId="4D96655F" w14:textId="77777777" w:rsidR="00034F0A" w:rsidRPr="00C00F89" w:rsidRDefault="00034F0A" w:rsidP="00342E9E">
      <w:pPr>
        <w:pStyle w:val="Default"/>
        <w:numPr>
          <w:ilvl w:val="0"/>
          <w:numId w:val="15"/>
        </w:numPr>
        <w:jc w:val="both"/>
        <w:rPr>
          <w:rFonts w:asciiTheme="majorHAnsi" w:hAnsiTheme="majorHAnsi" w:cstheme="majorHAnsi"/>
          <w:color w:val="000000" w:themeColor="text1"/>
        </w:rPr>
      </w:pPr>
      <w:r w:rsidRPr="00C00F89">
        <w:rPr>
          <w:rFonts w:asciiTheme="majorHAnsi" w:hAnsiTheme="majorHAnsi" w:cstheme="majorHAnsi"/>
          <w:color w:val="000000" w:themeColor="text1"/>
        </w:rPr>
        <w:t>Purpose of Restart Program and requirements</w:t>
      </w:r>
    </w:p>
    <w:p w14:paraId="1DBBC04F" w14:textId="77777777" w:rsidR="00034F0A" w:rsidRPr="00C00F89" w:rsidRDefault="00034F0A" w:rsidP="00342E9E">
      <w:pPr>
        <w:pStyle w:val="Default"/>
        <w:numPr>
          <w:ilvl w:val="0"/>
          <w:numId w:val="15"/>
        </w:numPr>
        <w:jc w:val="both"/>
        <w:rPr>
          <w:rFonts w:asciiTheme="majorHAnsi" w:hAnsiTheme="majorHAnsi" w:cstheme="majorHAnsi"/>
          <w:color w:val="000000" w:themeColor="text1"/>
        </w:rPr>
      </w:pPr>
      <w:r w:rsidRPr="00C00F89">
        <w:rPr>
          <w:rFonts w:asciiTheme="majorHAnsi" w:hAnsiTheme="majorHAnsi" w:cstheme="majorHAnsi"/>
          <w:color w:val="000000" w:themeColor="text1"/>
        </w:rPr>
        <w:t>Data on distribution of funds and resources</w:t>
      </w:r>
    </w:p>
    <w:p w14:paraId="46CD6586" w14:textId="77777777" w:rsidR="00034F0A" w:rsidRPr="00C00F89" w:rsidRDefault="00034F0A" w:rsidP="00342E9E">
      <w:pPr>
        <w:pStyle w:val="Default"/>
        <w:numPr>
          <w:ilvl w:val="0"/>
          <w:numId w:val="15"/>
        </w:numPr>
        <w:jc w:val="both"/>
        <w:rPr>
          <w:rFonts w:asciiTheme="majorHAnsi" w:hAnsiTheme="majorHAnsi" w:cstheme="majorHAnsi"/>
          <w:color w:val="000000" w:themeColor="text1"/>
        </w:rPr>
      </w:pPr>
      <w:r w:rsidRPr="00C00F89">
        <w:rPr>
          <w:rFonts w:asciiTheme="majorHAnsi" w:hAnsiTheme="majorHAnsi" w:cstheme="majorHAnsi"/>
          <w:color w:val="000000" w:themeColor="text1"/>
        </w:rPr>
        <w:t>PRDE expectations for implementation and allowable use of Restart funds</w:t>
      </w:r>
    </w:p>
    <w:p w14:paraId="50BCA2D1" w14:textId="77777777" w:rsidR="00034F0A" w:rsidRPr="00C00F89" w:rsidRDefault="00034F0A" w:rsidP="00342E9E">
      <w:pPr>
        <w:pStyle w:val="Default"/>
        <w:numPr>
          <w:ilvl w:val="0"/>
          <w:numId w:val="15"/>
        </w:numPr>
        <w:jc w:val="both"/>
        <w:rPr>
          <w:rFonts w:asciiTheme="majorHAnsi" w:hAnsiTheme="majorHAnsi" w:cstheme="majorHAnsi"/>
          <w:color w:val="000000" w:themeColor="text1"/>
        </w:rPr>
      </w:pPr>
      <w:r w:rsidRPr="00C00F89">
        <w:rPr>
          <w:rFonts w:asciiTheme="majorHAnsi" w:hAnsiTheme="majorHAnsi" w:cstheme="majorHAnsi"/>
          <w:color w:val="000000" w:themeColor="text1"/>
        </w:rPr>
        <w:t>Lead Monitor Roles and Responsibilities</w:t>
      </w:r>
    </w:p>
    <w:p w14:paraId="6FBEFD4C" w14:textId="77777777" w:rsidR="00034F0A" w:rsidRPr="00C00F89" w:rsidRDefault="00034F0A" w:rsidP="00342E9E">
      <w:pPr>
        <w:pStyle w:val="Default"/>
        <w:numPr>
          <w:ilvl w:val="0"/>
          <w:numId w:val="15"/>
        </w:numPr>
        <w:jc w:val="both"/>
        <w:rPr>
          <w:rFonts w:asciiTheme="majorHAnsi" w:hAnsiTheme="majorHAnsi" w:cstheme="majorBidi"/>
          <w:color w:val="000000" w:themeColor="text1"/>
        </w:rPr>
      </w:pPr>
      <w:r w:rsidRPr="00C00F89">
        <w:rPr>
          <w:rFonts w:asciiTheme="majorHAnsi" w:hAnsiTheme="majorHAnsi" w:cstheme="majorBidi"/>
          <w:color w:val="000000" w:themeColor="text1"/>
        </w:rPr>
        <w:t>Regional Reporting Documents, Templates and Timelines (under development)</w:t>
      </w:r>
    </w:p>
    <w:p w14:paraId="0D08307E" w14:textId="77777777" w:rsidR="00034F0A" w:rsidRPr="00C00F89" w:rsidRDefault="00034F0A" w:rsidP="00342E9E">
      <w:pPr>
        <w:pStyle w:val="Default"/>
        <w:numPr>
          <w:ilvl w:val="0"/>
          <w:numId w:val="15"/>
        </w:numPr>
        <w:jc w:val="both"/>
        <w:rPr>
          <w:rFonts w:asciiTheme="majorHAnsi" w:hAnsiTheme="majorHAnsi" w:cstheme="majorBidi"/>
          <w:color w:val="000000" w:themeColor="text1"/>
        </w:rPr>
      </w:pPr>
      <w:r w:rsidRPr="00C00F89">
        <w:rPr>
          <w:rFonts w:asciiTheme="majorHAnsi" w:hAnsiTheme="majorHAnsi" w:cstheme="majorBidi"/>
          <w:color w:val="000000" w:themeColor="text1"/>
        </w:rPr>
        <w:t>School Reporting Documents and Timelines (under development)</w:t>
      </w:r>
    </w:p>
    <w:p w14:paraId="0E390A33" w14:textId="77777777" w:rsidR="00034F0A" w:rsidRPr="00C00F89" w:rsidRDefault="00034F0A" w:rsidP="00034F0A">
      <w:pPr>
        <w:pStyle w:val="Default"/>
        <w:jc w:val="both"/>
        <w:rPr>
          <w:rFonts w:asciiTheme="majorHAnsi" w:hAnsiTheme="majorHAnsi" w:cstheme="majorHAnsi"/>
          <w:color w:val="000000" w:themeColor="text1"/>
        </w:rPr>
      </w:pPr>
    </w:p>
    <w:p w14:paraId="3D48F163" w14:textId="77777777" w:rsidR="00034F0A" w:rsidRDefault="00034F0A" w:rsidP="00034F0A">
      <w:pPr>
        <w:pStyle w:val="BodyText"/>
        <w:ind w:right="112"/>
        <w:jc w:val="both"/>
        <w:rPr>
          <w:color w:val="000000" w:themeColor="text1"/>
          <w:sz w:val="24"/>
          <w:szCs w:val="24"/>
        </w:rPr>
      </w:pPr>
      <w:r w:rsidRPr="00C00F89">
        <w:rPr>
          <w:rFonts w:asciiTheme="majorHAnsi" w:hAnsiTheme="majorHAnsi" w:cstheme="majorBidi"/>
          <w:color w:val="000000" w:themeColor="text1"/>
          <w:sz w:val="24"/>
          <w:szCs w:val="24"/>
        </w:rPr>
        <w:t xml:space="preserve">In order to train the appropriate staff, PRDE will use the information included in the guides (FAQ) published by the USDE. PRDE will also ensure they provide access to online resources including tool kits, templates and documentation to provide Regional Technical Assistants with the necessary support. </w:t>
      </w:r>
      <w:r w:rsidRPr="00C00F89">
        <w:rPr>
          <w:color w:val="000000" w:themeColor="text1"/>
          <w:sz w:val="24"/>
          <w:szCs w:val="24"/>
        </w:rPr>
        <w:t xml:space="preserve">The topics will prioritize allowable activities, reasonability of costs, procurement procedures and supplement </w:t>
      </w:r>
      <w:proofErr w:type="gramStart"/>
      <w:r w:rsidRPr="00C00F89">
        <w:rPr>
          <w:color w:val="000000" w:themeColor="text1"/>
          <w:sz w:val="24"/>
          <w:szCs w:val="24"/>
        </w:rPr>
        <w:t>not supplant</w:t>
      </w:r>
      <w:proofErr w:type="gramEnd"/>
      <w:r w:rsidRPr="00C00F89">
        <w:rPr>
          <w:color w:val="000000" w:themeColor="text1"/>
          <w:sz w:val="24"/>
          <w:szCs w:val="24"/>
        </w:rPr>
        <w:t>, among others.</w:t>
      </w:r>
    </w:p>
    <w:p w14:paraId="326138E9" w14:textId="77777777" w:rsidR="00C16601" w:rsidRPr="00B45974" w:rsidRDefault="00C16601" w:rsidP="00034F0A">
      <w:pPr>
        <w:pStyle w:val="BodyText"/>
        <w:ind w:right="112"/>
        <w:jc w:val="both"/>
        <w:rPr>
          <w:color w:val="000000" w:themeColor="text1"/>
          <w:sz w:val="24"/>
          <w:szCs w:val="24"/>
        </w:rPr>
      </w:pPr>
    </w:p>
    <w:p w14:paraId="56D1033B" w14:textId="77777777" w:rsidR="00034F0A" w:rsidRPr="00C00F89" w:rsidRDefault="00034F0A" w:rsidP="00C16601">
      <w:pPr>
        <w:pStyle w:val="Heading2"/>
      </w:pPr>
      <w:r w:rsidRPr="00C00F89">
        <w:t>Regional Technical Assistants</w:t>
      </w:r>
    </w:p>
    <w:p w14:paraId="2B75DE4E" w14:textId="77777777" w:rsidR="00034F0A" w:rsidRPr="00C00F89" w:rsidRDefault="00034F0A" w:rsidP="00034F0A">
      <w:pPr>
        <w:pStyle w:val="Default"/>
        <w:spacing w:after="9"/>
        <w:jc w:val="both"/>
        <w:rPr>
          <w:rFonts w:asciiTheme="majorHAnsi" w:hAnsiTheme="majorHAnsi" w:cstheme="majorHAnsi"/>
          <w:color w:val="000000" w:themeColor="text1"/>
        </w:rPr>
      </w:pPr>
      <w:r w:rsidRPr="00C00F89">
        <w:rPr>
          <w:rFonts w:asciiTheme="majorHAnsi" w:hAnsiTheme="majorHAnsi" w:cstheme="majorHAnsi"/>
          <w:color w:val="000000" w:themeColor="text1"/>
        </w:rPr>
        <w:t xml:space="preserve">Based on the </w:t>
      </w:r>
      <w:r>
        <w:rPr>
          <w:rFonts w:asciiTheme="majorHAnsi" w:hAnsiTheme="majorHAnsi" w:cstheme="majorHAnsi"/>
          <w:color w:val="000000" w:themeColor="text1"/>
        </w:rPr>
        <w:t>before</w:t>
      </w:r>
      <w:r w:rsidR="00C16601">
        <w:rPr>
          <w:rFonts w:asciiTheme="majorHAnsi" w:hAnsiTheme="majorHAnsi" w:cstheme="majorHAnsi"/>
          <w:color w:val="000000" w:themeColor="text1"/>
        </w:rPr>
        <w:t xml:space="preserve"> </w:t>
      </w:r>
      <w:r w:rsidRPr="00C00F89">
        <w:rPr>
          <w:rFonts w:asciiTheme="majorHAnsi" w:hAnsiTheme="majorHAnsi" w:cstheme="majorHAnsi"/>
          <w:color w:val="000000" w:themeColor="text1"/>
        </w:rPr>
        <w:t xml:space="preserve">mentioned training provided by PRDE, Regional Technical Assistants (Regional Coordinators of Federal Affairs Program and the regionals monitors), will provide guidance to their schools on policies and procedures for Restart funds. </w:t>
      </w:r>
    </w:p>
    <w:p w14:paraId="63DE1114" w14:textId="77777777" w:rsidR="00034F0A" w:rsidRPr="00C00F89" w:rsidRDefault="00034F0A" w:rsidP="00034F0A">
      <w:pPr>
        <w:pStyle w:val="Default"/>
        <w:spacing w:after="9"/>
        <w:jc w:val="both"/>
        <w:rPr>
          <w:rFonts w:asciiTheme="majorHAnsi" w:hAnsiTheme="majorHAnsi" w:cstheme="majorHAnsi"/>
          <w:color w:val="000000" w:themeColor="text1"/>
        </w:rPr>
      </w:pPr>
    </w:p>
    <w:p w14:paraId="594215B0" w14:textId="77777777" w:rsidR="00034F0A" w:rsidRPr="00C00F89" w:rsidRDefault="00034F0A" w:rsidP="00034F0A">
      <w:pPr>
        <w:pStyle w:val="Default"/>
        <w:jc w:val="both"/>
        <w:rPr>
          <w:rFonts w:asciiTheme="majorHAnsi" w:hAnsiTheme="majorHAnsi" w:cstheme="majorHAnsi"/>
          <w:color w:val="000000" w:themeColor="text1"/>
        </w:rPr>
      </w:pPr>
      <w:r w:rsidRPr="00C00F89">
        <w:rPr>
          <w:rFonts w:asciiTheme="majorHAnsi" w:hAnsiTheme="majorHAnsi" w:cstheme="majorHAnsi"/>
          <w:color w:val="000000" w:themeColor="text1"/>
        </w:rPr>
        <w:t>Regional Technical Assistants will also use the information gathered from the monitoring visits to support the schools in any performance and implementation challenges. The data collected during the risk assessment and monitoring will be used by Regional Technical Assistants to identify topics requiring further guidance and corrective action. Regional Technical Assistants will also be a key part of implementing any corrective actions identified during monitoring.</w:t>
      </w:r>
    </w:p>
    <w:p w14:paraId="57885054" w14:textId="77777777" w:rsidR="00943FC9" w:rsidRDefault="00943FC9" w:rsidP="00131772">
      <w:pPr>
        <w:pStyle w:val="Default"/>
        <w:spacing w:after="9"/>
        <w:jc w:val="both"/>
        <w:rPr>
          <w:rFonts w:asciiTheme="majorHAnsi" w:hAnsiTheme="majorHAnsi" w:cstheme="majorHAnsi"/>
          <w:color w:val="FF0000"/>
          <w:sz w:val="22"/>
          <w:szCs w:val="22"/>
        </w:rPr>
      </w:pPr>
    </w:p>
    <w:p w14:paraId="237E9C4E" w14:textId="77777777" w:rsidR="00943FC9" w:rsidRPr="004A1115" w:rsidRDefault="00943FC9" w:rsidP="004A1115">
      <w:pPr>
        <w:pStyle w:val="Heading2"/>
      </w:pPr>
      <w:r w:rsidRPr="004A1115">
        <w:t>Program Evaluation</w:t>
      </w:r>
    </w:p>
    <w:p w14:paraId="5067CC8A" w14:textId="790ACFC1" w:rsidR="00A53556" w:rsidRDefault="00D62873" w:rsidP="00F420FF">
      <w:pPr>
        <w:pStyle w:val="Default"/>
        <w:jc w:val="both"/>
        <w:rPr>
          <w:rFonts w:asciiTheme="majorHAnsi" w:hAnsiTheme="majorHAnsi" w:cstheme="majorHAnsi"/>
          <w:color w:val="000000" w:themeColor="text1"/>
        </w:rPr>
      </w:pPr>
      <w:r w:rsidRPr="004A1115">
        <w:rPr>
          <w:rFonts w:asciiTheme="majorHAnsi" w:hAnsiTheme="majorHAnsi" w:cstheme="majorHAnsi"/>
          <w:color w:val="auto"/>
        </w:rPr>
        <w:t xml:space="preserve">The </w:t>
      </w:r>
      <w:r>
        <w:rPr>
          <w:rFonts w:asciiTheme="majorHAnsi" w:hAnsiTheme="majorHAnsi" w:cstheme="majorHAnsi"/>
          <w:color w:val="auto"/>
        </w:rPr>
        <w:t>program coordinator</w:t>
      </w:r>
      <w:r w:rsidRPr="004A1115">
        <w:rPr>
          <w:rFonts w:asciiTheme="majorHAnsi" w:hAnsiTheme="majorHAnsi" w:cstheme="majorHAnsi"/>
          <w:color w:val="auto"/>
        </w:rPr>
        <w:t xml:space="preserve"> will conduct a Program Evaluation </w:t>
      </w:r>
      <w:r>
        <w:rPr>
          <w:rFonts w:asciiTheme="majorHAnsi" w:hAnsiTheme="majorHAnsi" w:cstheme="majorHAnsi"/>
          <w:color w:val="auto"/>
        </w:rPr>
        <w:t>until the new compliance officer is hired</w:t>
      </w:r>
      <w:r w:rsidRPr="004A1115">
        <w:rPr>
          <w:rFonts w:asciiTheme="majorHAnsi" w:hAnsiTheme="majorHAnsi" w:cstheme="majorHAnsi"/>
          <w:color w:val="auto"/>
        </w:rPr>
        <w:t xml:space="preserve">, to evaluate that the program complies with the objective established in USDE regulations. </w:t>
      </w:r>
    </w:p>
    <w:p w14:paraId="7595195A" w14:textId="77777777" w:rsidR="0068205D" w:rsidRPr="0068205D" w:rsidRDefault="0068205D" w:rsidP="0068205D"/>
    <w:p w14:paraId="73FA7ABE" w14:textId="77777777" w:rsidR="00DE0244" w:rsidRDefault="00DE0244" w:rsidP="00DE0244">
      <w:pPr>
        <w:pStyle w:val="Heading1"/>
      </w:pPr>
      <w:r>
        <w:t xml:space="preserve">Summary of Internal Controls </w:t>
      </w:r>
    </w:p>
    <w:p w14:paraId="6B43BE56" w14:textId="77777777" w:rsidR="00E1739A" w:rsidRPr="004A1115" w:rsidRDefault="00E1739A" w:rsidP="00342E9E">
      <w:pPr>
        <w:rPr>
          <w:rFonts w:asciiTheme="majorHAnsi" w:hAnsiTheme="majorHAnsi" w:cstheme="majorHAnsi"/>
        </w:rPr>
      </w:pPr>
      <w:r w:rsidRPr="004A1115">
        <w:rPr>
          <w:rFonts w:asciiTheme="majorHAnsi" w:hAnsiTheme="majorHAnsi" w:cstheme="majorHAnsi"/>
        </w:rPr>
        <w:t>The list below summ</w:t>
      </w:r>
      <w:r w:rsidR="00567446" w:rsidRPr="004A1115">
        <w:rPr>
          <w:rFonts w:asciiTheme="majorHAnsi" w:hAnsiTheme="majorHAnsi" w:cstheme="majorHAnsi"/>
        </w:rPr>
        <w:t>arizes the Internal controls established by PRDE Restart office:</w:t>
      </w:r>
    </w:p>
    <w:p w14:paraId="20E9D810" w14:textId="77777777" w:rsidR="006E41E3" w:rsidRDefault="006E41E3" w:rsidP="006E41E3"/>
    <w:p w14:paraId="4612AA2A" w14:textId="77777777" w:rsidR="006E41E3" w:rsidRDefault="006E41E3" w:rsidP="00342E9E">
      <w:pPr>
        <w:pStyle w:val="ListParagraph"/>
        <w:numPr>
          <w:ilvl w:val="0"/>
          <w:numId w:val="20"/>
        </w:numPr>
        <w:jc w:val="both"/>
        <w:rPr>
          <w:rFonts w:ascii="Calibri Light" w:hAnsi="Calibri Light" w:cs="Calibri Light"/>
        </w:rPr>
      </w:pPr>
      <w:r>
        <w:rPr>
          <w:rFonts w:ascii="Calibri Light" w:hAnsi="Calibri Light" w:cs="Calibri Light"/>
        </w:rPr>
        <w:t>Segregating responsibilities so that one employee does not have full control or carry out all fiscal duties (</w:t>
      </w:r>
      <w:r w:rsidR="00567446">
        <w:rPr>
          <w:rFonts w:ascii="Calibri Light" w:hAnsi="Calibri Light" w:cs="Calibri Light"/>
        </w:rPr>
        <w:t>refer to o</w:t>
      </w:r>
      <w:r>
        <w:rPr>
          <w:rFonts w:ascii="Calibri Light" w:hAnsi="Calibri Light" w:cs="Calibri Light"/>
        </w:rPr>
        <w:t>rganization chart</w:t>
      </w:r>
      <w:r w:rsidR="00567446">
        <w:rPr>
          <w:rFonts w:ascii="Calibri Light" w:hAnsi="Calibri Light" w:cs="Calibri Light"/>
        </w:rPr>
        <w:t xml:space="preserve"> and </w:t>
      </w:r>
      <w:r>
        <w:rPr>
          <w:rFonts w:ascii="Calibri Light" w:hAnsi="Calibri Light" w:cs="Calibri Light"/>
        </w:rPr>
        <w:t xml:space="preserve">Fiscal Procedures Guide). </w:t>
      </w:r>
      <w:r>
        <w:rPr>
          <w:rFonts w:ascii="Calibri Light" w:eastAsia="Times New Roman" w:hAnsi="Calibri Light" w:cs="Calibri Light"/>
        </w:rPr>
        <w:t xml:space="preserve">Each position has specific responsibilities to avoid duplication of efforts and or conflict of interest. </w:t>
      </w:r>
    </w:p>
    <w:p w14:paraId="5516EA9E" w14:textId="77777777" w:rsidR="006E41E3" w:rsidRDefault="006E41E3" w:rsidP="00342E9E">
      <w:pPr>
        <w:pStyle w:val="ListParagraph"/>
        <w:numPr>
          <w:ilvl w:val="0"/>
          <w:numId w:val="20"/>
        </w:numPr>
        <w:spacing w:line="276" w:lineRule="auto"/>
        <w:jc w:val="both"/>
        <w:rPr>
          <w:rFonts w:ascii="Calibri Light" w:eastAsia="Times New Roman" w:hAnsi="Calibri Light" w:cs="Calibri Light"/>
        </w:rPr>
      </w:pPr>
      <w:r>
        <w:rPr>
          <w:rFonts w:ascii="Calibri Light" w:eastAsia="Times New Roman" w:hAnsi="Calibri Light" w:cs="Calibri Light"/>
        </w:rPr>
        <w:lastRenderedPageBreak/>
        <w:t xml:space="preserve">Segregation of duties within the Financial System </w:t>
      </w:r>
      <w:r>
        <w:rPr>
          <w:rFonts w:ascii="Calibri Light" w:hAnsi="Calibri Light" w:cs="Calibri Light"/>
        </w:rPr>
        <w:t xml:space="preserve">of the PRDE (SIFDE). </w:t>
      </w:r>
      <w:r>
        <w:rPr>
          <w:rFonts w:ascii="Calibri Light" w:eastAsia="Times New Roman" w:hAnsi="Calibri Light" w:cs="Calibri Light"/>
        </w:rPr>
        <w:t xml:space="preserve">There will be various steps of approval for each fiscal transaction (examples: the person </w:t>
      </w:r>
      <w:r w:rsidR="00567446">
        <w:rPr>
          <w:rFonts w:ascii="Calibri Light" w:eastAsia="Times New Roman" w:hAnsi="Calibri Light" w:cs="Calibri Light"/>
        </w:rPr>
        <w:t>responsible</w:t>
      </w:r>
      <w:r>
        <w:rPr>
          <w:rFonts w:ascii="Calibri Light" w:eastAsia="Times New Roman" w:hAnsi="Calibri Light" w:cs="Calibri Light"/>
        </w:rPr>
        <w:t xml:space="preserve"> of making the requisitions on SIFDE, the person in charge of approving the requisitions on SIFDE, the person in charge of receiving the invoices and processing the payments, etc.)</w:t>
      </w:r>
    </w:p>
    <w:p w14:paraId="6B3395AC" w14:textId="77777777" w:rsidR="006E41E3" w:rsidRDefault="006E41E3" w:rsidP="00342E9E">
      <w:pPr>
        <w:pStyle w:val="ListParagraph"/>
        <w:numPr>
          <w:ilvl w:val="0"/>
          <w:numId w:val="20"/>
        </w:numPr>
        <w:jc w:val="both"/>
        <w:rPr>
          <w:rFonts w:ascii="Calibri Light" w:eastAsia="Calibri" w:hAnsi="Calibri Light" w:cs="Calibri Light"/>
        </w:rPr>
      </w:pPr>
      <w:r>
        <w:rPr>
          <w:rFonts w:ascii="Calibri Light" w:hAnsi="Calibri Light" w:cs="Calibri Light"/>
        </w:rPr>
        <w:t>Performance Reviews</w:t>
      </w:r>
    </w:p>
    <w:p w14:paraId="3501E55D" w14:textId="77777777" w:rsidR="006E41E3" w:rsidRDefault="006E41E3" w:rsidP="00342E9E">
      <w:pPr>
        <w:pStyle w:val="ListParagraph"/>
        <w:numPr>
          <w:ilvl w:val="0"/>
          <w:numId w:val="20"/>
        </w:numPr>
        <w:spacing w:line="276" w:lineRule="auto"/>
        <w:jc w:val="both"/>
        <w:rPr>
          <w:rFonts w:ascii="Calibri Light" w:eastAsia="Times New Roman" w:hAnsi="Calibri Light" w:cs="Calibri Light"/>
        </w:rPr>
      </w:pPr>
      <w:r>
        <w:rPr>
          <w:rFonts w:ascii="Calibri Light" w:eastAsia="Times New Roman" w:hAnsi="Calibri Light" w:cs="Calibri Light"/>
        </w:rPr>
        <w:t xml:space="preserve">PRDE have an external monitoring </w:t>
      </w:r>
      <w:r w:rsidR="0008069E">
        <w:rPr>
          <w:rFonts w:ascii="Calibri Light" w:eastAsia="Times New Roman" w:hAnsi="Calibri Light" w:cs="Calibri Light"/>
        </w:rPr>
        <w:t>contractor</w:t>
      </w:r>
      <w:r w:rsidR="00C9211C">
        <w:rPr>
          <w:rFonts w:ascii="Calibri Light" w:eastAsia="Times New Roman" w:hAnsi="Calibri Light" w:cs="Calibri Light"/>
        </w:rPr>
        <w:t xml:space="preserve"> which </w:t>
      </w:r>
      <w:r w:rsidR="00A3426A">
        <w:rPr>
          <w:rFonts w:ascii="Calibri Light" w:eastAsia="Times New Roman" w:hAnsi="Calibri Light" w:cs="Calibri Light"/>
        </w:rPr>
        <w:t xml:space="preserve">provides </w:t>
      </w:r>
      <w:r w:rsidR="00CA0C7C">
        <w:rPr>
          <w:rFonts w:ascii="Calibri Light" w:eastAsia="Times New Roman" w:hAnsi="Calibri Light" w:cs="Calibri Light"/>
        </w:rPr>
        <w:t xml:space="preserve">technical assistance, support implementation of Restart initiatives and oversee </w:t>
      </w:r>
      <w:r w:rsidR="002F6FA1">
        <w:rPr>
          <w:rFonts w:ascii="Calibri Light" w:eastAsia="Times New Roman" w:hAnsi="Calibri Light" w:cs="Calibri Light"/>
        </w:rPr>
        <w:t>a monitoring approach that assesses PRDE’s compliance with the terms of the grant management.</w:t>
      </w:r>
    </w:p>
    <w:p w14:paraId="24C9009F" w14:textId="77777777" w:rsidR="006E41E3" w:rsidRDefault="006E41E3" w:rsidP="00342E9E">
      <w:pPr>
        <w:pStyle w:val="ListParagraph"/>
        <w:numPr>
          <w:ilvl w:val="0"/>
          <w:numId w:val="20"/>
        </w:numPr>
        <w:spacing w:line="276" w:lineRule="auto"/>
        <w:jc w:val="both"/>
        <w:rPr>
          <w:rFonts w:ascii="Calibri Light" w:eastAsia="Times New Roman" w:hAnsi="Calibri Light" w:cs="Calibri Light"/>
        </w:rPr>
      </w:pPr>
      <w:r>
        <w:rPr>
          <w:rFonts w:ascii="Calibri Light" w:hAnsi="Calibri Light" w:cs="Calibri Light"/>
        </w:rPr>
        <w:t xml:space="preserve">Documenting and maintaining clear documentation of all procedures and necessary transactions (Initiatives records, documentation in the </w:t>
      </w:r>
      <w:r>
        <w:rPr>
          <w:rFonts w:ascii="Calibri Light" w:eastAsia="Times New Roman" w:hAnsi="Calibri Light" w:cs="Calibri Light"/>
        </w:rPr>
        <w:t>Financial System</w:t>
      </w:r>
      <w:r>
        <w:rPr>
          <w:rFonts w:ascii="Calibri Light" w:hAnsi="Calibri Light" w:cs="Calibri Light"/>
        </w:rPr>
        <w:t xml:space="preserve"> of the PRDE (SIFDE), physical records, documents in the cloud)</w:t>
      </w:r>
      <w:r>
        <w:rPr>
          <w:rFonts w:ascii="Calibri Light" w:eastAsia="Times New Roman" w:hAnsi="Calibri Light" w:cs="Calibri Light"/>
        </w:rPr>
        <w:t xml:space="preserve"> to be prepared with all supporting documentation and the recording of all transactions for the monitoring or audit process. </w:t>
      </w:r>
    </w:p>
    <w:p w14:paraId="4E299373" w14:textId="77777777" w:rsidR="006E41E3" w:rsidRDefault="006E41E3" w:rsidP="004A1115">
      <w:pPr>
        <w:pStyle w:val="ListParagraph"/>
        <w:numPr>
          <w:ilvl w:val="0"/>
          <w:numId w:val="24"/>
        </w:numPr>
        <w:spacing w:line="276" w:lineRule="auto"/>
        <w:jc w:val="both"/>
        <w:rPr>
          <w:rFonts w:ascii="Calibri Light" w:eastAsia="Times New Roman" w:hAnsi="Calibri Light" w:cs="Calibri Light"/>
        </w:rPr>
      </w:pPr>
      <w:r>
        <w:rPr>
          <w:rFonts w:ascii="Calibri Light" w:eastAsia="Times New Roman" w:hAnsi="Calibri Light" w:cs="Calibri Light"/>
        </w:rPr>
        <w:t xml:space="preserve">The Restart Program has created a space/file in the official PRDE cloud where the program personnel </w:t>
      </w:r>
      <w:r w:rsidR="001E6538">
        <w:rPr>
          <w:rFonts w:ascii="Calibri Light" w:eastAsia="Times New Roman" w:hAnsi="Calibri Light" w:cs="Calibri Light"/>
        </w:rPr>
        <w:t>are</w:t>
      </w:r>
      <w:r>
        <w:rPr>
          <w:rFonts w:ascii="Calibri Light" w:eastAsia="Times New Roman" w:hAnsi="Calibri Light" w:cs="Calibri Light"/>
        </w:rPr>
        <w:t xml:space="preserve"> uploading all required administrative forms and documents for all initiatives. </w:t>
      </w:r>
    </w:p>
    <w:p w14:paraId="2C0A8BC1" w14:textId="77777777" w:rsidR="006E41E3" w:rsidRDefault="006E41E3" w:rsidP="00342E9E">
      <w:pPr>
        <w:pStyle w:val="ListParagraph"/>
        <w:numPr>
          <w:ilvl w:val="0"/>
          <w:numId w:val="20"/>
        </w:numPr>
        <w:spacing w:line="276" w:lineRule="auto"/>
        <w:jc w:val="both"/>
        <w:rPr>
          <w:rFonts w:ascii="Calibri Light" w:eastAsia="Times New Roman" w:hAnsi="Calibri Light" w:cs="Calibri Light"/>
        </w:rPr>
      </w:pPr>
      <w:r>
        <w:rPr>
          <w:rFonts w:ascii="Calibri Light" w:eastAsia="Times New Roman" w:hAnsi="Calibri Light" w:cs="Calibri Light"/>
        </w:rPr>
        <w:t>The Restart Program staff provide</w:t>
      </w:r>
      <w:r w:rsidR="00666E3B">
        <w:rPr>
          <w:rFonts w:ascii="Calibri Light" w:eastAsia="Times New Roman" w:hAnsi="Calibri Light" w:cs="Calibri Light"/>
        </w:rPr>
        <w:t>s</w:t>
      </w:r>
      <w:r>
        <w:rPr>
          <w:rFonts w:ascii="Calibri Light" w:eastAsia="Times New Roman" w:hAnsi="Calibri Light" w:cs="Calibri Light"/>
        </w:rPr>
        <w:t xml:space="preserve"> on-going technical assistance to initiative leads and non-public schools. The Restart Program staff continuously follow up </w:t>
      </w:r>
      <w:r w:rsidR="00666E3B">
        <w:rPr>
          <w:rFonts w:ascii="Calibri Light" w:eastAsia="Times New Roman" w:hAnsi="Calibri Light" w:cs="Calibri Light"/>
        </w:rPr>
        <w:t>with</w:t>
      </w:r>
      <w:r>
        <w:rPr>
          <w:rFonts w:ascii="Calibri Light" w:eastAsia="Times New Roman" w:hAnsi="Calibri Light" w:cs="Calibri Light"/>
        </w:rPr>
        <w:t xml:space="preserve"> the different areas of the PRDE to make sure that initiatives are being implemented in order and as they should. </w:t>
      </w:r>
    </w:p>
    <w:p w14:paraId="2BA030F3" w14:textId="77777777" w:rsidR="006E41E3" w:rsidRDefault="006E41E3" w:rsidP="00342E9E">
      <w:pPr>
        <w:pStyle w:val="ListParagraph"/>
        <w:numPr>
          <w:ilvl w:val="0"/>
          <w:numId w:val="20"/>
        </w:numPr>
        <w:spacing w:line="276" w:lineRule="auto"/>
        <w:jc w:val="both"/>
        <w:rPr>
          <w:rFonts w:ascii="Calibri Light" w:eastAsia="Times New Roman" w:hAnsi="Calibri Light" w:cs="Calibri Light"/>
        </w:rPr>
      </w:pPr>
      <w:r>
        <w:rPr>
          <w:rFonts w:ascii="Calibri Light" w:eastAsia="Times New Roman" w:hAnsi="Calibri Light" w:cs="Calibri Light"/>
        </w:rPr>
        <w:t xml:space="preserve">The PRDE have manuals and guides for all federal programs, including Restart. The Restart Program is well trained on these regulations and guidelines in order to comply with all federal and local requirements for the Restart Program. </w:t>
      </w:r>
    </w:p>
    <w:p w14:paraId="3B8298D8" w14:textId="77777777" w:rsidR="006E41E3" w:rsidRDefault="006E41E3" w:rsidP="00342E9E">
      <w:pPr>
        <w:pStyle w:val="ListParagraph"/>
        <w:numPr>
          <w:ilvl w:val="0"/>
          <w:numId w:val="20"/>
        </w:numPr>
        <w:spacing w:line="276" w:lineRule="auto"/>
        <w:jc w:val="both"/>
        <w:rPr>
          <w:rFonts w:ascii="Calibri Light" w:eastAsia="Times New Roman" w:hAnsi="Calibri Light" w:cs="Calibri Light"/>
        </w:rPr>
      </w:pPr>
      <w:r>
        <w:rPr>
          <w:rFonts w:ascii="Calibri Light" w:eastAsia="Times New Roman" w:hAnsi="Calibri Light" w:cs="Calibri Light"/>
        </w:rPr>
        <w:t>Establishments of timelines and department-wide project planning.  </w:t>
      </w:r>
    </w:p>
    <w:p w14:paraId="1C2E63A6" w14:textId="77777777" w:rsidR="006E41E3" w:rsidRDefault="006E41E3" w:rsidP="00342E9E">
      <w:pPr>
        <w:pStyle w:val="ListParagraph"/>
        <w:numPr>
          <w:ilvl w:val="0"/>
          <w:numId w:val="20"/>
        </w:numPr>
        <w:jc w:val="both"/>
        <w:rPr>
          <w:rFonts w:ascii="Calibri Light" w:eastAsia="Calibri" w:hAnsi="Calibri Light" w:cs="Calibri Light"/>
        </w:rPr>
      </w:pPr>
      <w:r>
        <w:rPr>
          <w:rFonts w:ascii="Calibri Light" w:hAnsi="Calibri Light" w:cs="Calibri Light"/>
        </w:rPr>
        <w:t>Ensuring that proper security is in place for systems and records, such as requiring passwords and restricted authorizations (Passwords, Security Protocols for Information Systems, Physical records on secured area).</w:t>
      </w:r>
    </w:p>
    <w:p w14:paraId="3AB18E3A" w14:textId="77777777" w:rsidR="006E41E3" w:rsidRDefault="006E41E3" w:rsidP="00342E9E">
      <w:pPr>
        <w:pStyle w:val="ListParagraph"/>
        <w:numPr>
          <w:ilvl w:val="0"/>
          <w:numId w:val="20"/>
        </w:numPr>
        <w:spacing w:line="276" w:lineRule="auto"/>
        <w:jc w:val="both"/>
        <w:rPr>
          <w:rFonts w:ascii="Calibri Light" w:eastAsia="Times New Roman" w:hAnsi="Calibri Light" w:cs="Calibri Light"/>
        </w:rPr>
      </w:pPr>
      <w:r>
        <w:rPr>
          <w:rFonts w:ascii="Calibri Light" w:eastAsia="Times New Roman" w:hAnsi="Calibri Light" w:cs="Calibri Light"/>
        </w:rPr>
        <w:t>On- going reporting to program officers with accurate data, as it is required. </w:t>
      </w:r>
    </w:p>
    <w:p w14:paraId="48AA2661" w14:textId="77777777" w:rsidR="006E41E3" w:rsidRDefault="006E41E3" w:rsidP="00342E9E">
      <w:pPr>
        <w:pStyle w:val="ListParagraph"/>
        <w:numPr>
          <w:ilvl w:val="0"/>
          <w:numId w:val="20"/>
        </w:numPr>
        <w:spacing w:line="276" w:lineRule="auto"/>
        <w:jc w:val="both"/>
        <w:rPr>
          <w:rFonts w:ascii="Calibri Light" w:eastAsia="Times New Roman" w:hAnsi="Calibri Light" w:cs="Calibri Light"/>
        </w:rPr>
      </w:pPr>
      <w:r>
        <w:rPr>
          <w:rFonts w:ascii="Calibri Light" w:eastAsia="Times New Roman" w:hAnsi="Calibri Light" w:cs="Calibri Light"/>
        </w:rPr>
        <w:t xml:space="preserve">Provide an email address available for the public to report any suspicious activity, fraud, waste or abuse of federal dollars. </w:t>
      </w:r>
    </w:p>
    <w:p w14:paraId="428F32E0" w14:textId="77777777" w:rsidR="006E41E3" w:rsidRDefault="006E41E3" w:rsidP="00342E9E">
      <w:pPr>
        <w:pStyle w:val="ListParagraph"/>
        <w:numPr>
          <w:ilvl w:val="0"/>
          <w:numId w:val="20"/>
        </w:numPr>
        <w:spacing w:line="276" w:lineRule="auto"/>
        <w:jc w:val="both"/>
        <w:rPr>
          <w:rFonts w:ascii="Calibri Light" w:eastAsia="Times New Roman" w:hAnsi="Calibri Light" w:cs="Calibri Light"/>
        </w:rPr>
      </w:pPr>
      <w:r>
        <w:rPr>
          <w:rFonts w:ascii="Calibri Light" w:eastAsia="Times New Roman" w:hAnsi="Calibri Light" w:cs="Calibri Light"/>
        </w:rPr>
        <w:t xml:space="preserve">On-going meetings with non-public schools’ leaders and initiatives leads. </w:t>
      </w:r>
    </w:p>
    <w:p w14:paraId="0A9F9AD6" w14:textId="77777777" w:rsidR="006E41E3" w:rsidRDefault="006E41E3" w:rsidP="00342E9E">
      <w:pPr>
        <w:pStyle w:val="ListParagraph"/>
        <w:numPr>
          <w:ilvl w:val="0"/>
          <w:numId w:val="20"/>
        </w:numPr>
        <w:jc w:val="both"/>
        <w:rPr>
          <w:rFonts w:ascii="Calibri Light" w:eastAsia="Calibri" w:hAnsi="Calibri Light" w:cs="Calibri Light"/>
        </w:rPr>
      </w:pPr>
      <w:r>
        <w:rPr>
          <w:rFonts w:ascii="Calibri Light" w:hAnsi="Calibri Light" w:cs="Calibri Light"/>
        </w:rPr>
        <w:t>Due to the rapid changes in information technology, management over an organization's information systems must keep pace to remain effective (Passwords, Security Protocols for Information Systems)</w:t>
      </w:r>
    </w:p>
    <w:p w14:paraId="2803C6F4" w14:textId="77777777" w:rsidR="006E41E3" w:rsidRPr="006E41E3" w:rsidRDefault="006E41E3" w:rsidP="00342E9E"/>
    <w:p w14:paraId="33F455DC" w14:textId="77777777" w:rsidR="00DE0244" w:rsidRPr="00C00F89" w:rsidRDefault="00DE0244" w:rsidP="00F420FF">
      <w:pPr>
        <w:pStyle w:val="Default"/>
        <w:jc w:val="both"/>
        <w:rPr>
          <w:rFonts w:asciiTheme="majorHAnsi" w:hAnsiTheme="majorHAnsi" w:cstheme="majorHAnsi"/>
          <w:color w:val="000000" w:themeColor="text1"/>
        </w:rPr>
      </w:pPr>
    </w:p>
    <w:p w14:paraId="3F8E9CE2" w14:textId="77777777" w:rsidR="005D4AA9" w:rsidRDefault="00286F59" w:rsidP="00FE4383">
      <w:pPr>
        <w:pStyle w:val="Heading1"/>
      </w:pPr>
      <w:r>
        <w:t>Conclusion</w:t>
      </w:r>
    </w:p>
    <w:p w14:paraId="5D255A46" w14:textId="77777777" w:rsidR="00D5654E" w:rsidRPr="00D5654E" w:rsidRDefault="00D5654E" w:rsidP="00FE4383">
      <w:pPr>
        <w:shd w:val="clear" w:color="auto" w:fill="FFFFFF" w:themeFill="background1"/>
        <w:jc w:val="both"/>
        <w:rPr>
          <w:rFonts w:asciiTheme="majorHAnsi" w:hAnsiTheme="majorHAnsi" w:cstheme="majorHAnsi"/>
          <w:shd w:val="clear" w:color="auto" w:fill="FFFFFF"/>
        </w:rPr>
      </w:pPr>
      <w:r w:rsidRPr="00D5654E">
        <w:rPr>
          <w:rFonts w:asciiTheme="majorHAnsi" w:hAnsiTheme="majorHAnsi" w:cstheme="majorHAnsi"/>
          <w:color w:val="000000"/>
          <w:shd w:val="clear" w:color="auto" w:fill="FFFFFF"/>
        </w:rPr>
        <w:t xml:space="preserve">An Internal control is any policy, procedure, practice, or mechanism designed to provide reasonable assurance that the organization's objectives will be achieved. This includes controls designed to safeguard assets, ensure the timeliness, accuracy and reliability of financial and management reporting and to promote operational efficiency, effectiveness and compliance with all applicable laws, regulations, </w:t>
      </w:r>
      <w:r w:rsidRPr="00D5654E">
        <w:rPr>
          <w:rFonts w:asciiTheme="majorHAnsi" w:hAnsiTheme="majorHAnsi" w:cstheme="majorHAnsi"/>
          <w:color w:val="000000"/>
          <w:shd w:val="clear" w:color="auto" w:fill="FFFFFF"/>
        </w:rPr>
        <w:lastRenderedPageBreak/>
        <w:t xml:space="preserve">policies and procedures. </w:t>
      </w:r>
      <w:r w:rsidR="00FE4383" w:rsidRPr="00D5654E">
        <w:rPr>
          <w:rFonts w:asciiTheme="majorHAnsi" w:hAnsiTheme="majorHAnsi" w:cstheme="majorHAnsi"/>
          <w:b/>
          <w:bCs/>
        </w:rPr>
        <w:t>Internal controls</w:t>
      </w:r>
      <w:r w:rsidR="00FE4383" w:rsidRPr="00D5654E">
        <w:rPr>
          <w:rFonts w:asciiTheme="majorHAnsi" w:hAnsiTheme="majorHAnsi" w:cstheme="majorHAnsi"/>
          <w:shd w:val="clear" w:color="auto" w:fill="FFFFFF"/>
        </w:rPr>
        <w:t xml:space="preserve"> are the basic components of an </w:t>
      </w:r>
      <w:r w:rsidR="00FE4383" w:rsidRPr="00D5654E">
        <w:rPr>
          <w:rFonts w:asciiTheme="majorHAnsi" w:hAnsiTheme="majorHAnsi" w:cstheme="majorHAnsi"/>
          <w:b/>
          <w:bCs/>
        </w:rPr>
        <w:t>internal control system</w:t>
      </w:r>
      <w:r w:rsidR="00FE4383" w:rsidRPr="00D5654E">
        <w:rPr>
          <w:rFonts w:asciiTheme="majorHAnsi" w:hAnsiTheme="majorHAnsi" w:cstheme="majorHAnsi"/>
          <w:shd w:val="clear" w:color="auto" w:fill="FFFFFF"/>
        </w:rPr>
        <w:t xml:space="preserve">, the sum of all internal controls and policies within an organization that protect assets and data. </w:t>
      </w:r>
    </w:p>
    <w:p w14:paraId="7D0516E7" w14:textId="77777777" w:rsidR="00D5654E" w:rsidRPr="00D5654E" w:rsidRDefault="00D5654E" w:rsidP="00FE4383">
      <w:pPr>
        <w:shd w:val="clear" w:color="auto" w:fill="FFFFFF" w:themeFill="background1"/>
        <w:jc w:val="both"/>
        <w:rPr>
          <w:rFonts w:asciiTheme="majorHAnsi" w:hAnsiTheme="majorHAnsi" w:cstheme="majorHAnsi"/>
          <w:shd w:val="clear" w:color="auto" w:fill="FFFFFF"/>
        </w:rPr>
      </w:pPr>
    </w:p>
    <w:p w14:paraId="474C9633" w14:textId="77777777" w:rsidR="00FE4383" w:rsidRPr="00D5654E" w:rsidRDefault="00D5654E" w:rsidP="00FE4383">
      <w:pPr>
        <w:shd w:val="clear" w:color="auto" w:fill="FFFFFF" w:themeFill="background1"/>
        <w:jc w:val="both"/>
        <w:rPr>
          <w:rFonts w:asciiTheme="majorHAnsi" w:hAnsiTheme="majorHAnsi" w:cstheme="majorHAnsi"/>
          <w:shd w:val="clear" w:color="auto" w:fill="FFFFFF"/>
        </w:rPr>
      </w:pPr>
      <w:r w:rsidRPr="00D5654E">
        <w:rPr>
          <w:rFonts w:asciiTheme="majorHAnsi" w:hAnsiTheme="majorHAnsi" w:cstheme="majorHAnsi"/>
          <w:shd w:val="clear" w:color="auto" w:fill="FFFFFF" w:themeFill="background1"/>
        </w:rPr>
        <w:t xml:space="preserve">This document is aligned with Federal regulations and </w:t>
      </w:r>
      <w:r w:rsidRPr="00D5654E">
        <w:rPr>
          <w:rFonts w:asciiTheme="majorHAnsi" w:hAnsiTheme="majorHAnsi" w:cstheme="majorHAnsi"/>
        </w:rPr>
        <w:t xml:space="preserve">provides reasonable assurance that the non-Federal entity is managing the Federal award in compliance with Federal statutes, regulations, and the terms and conditions of the Federal award.  </w:t>
      </w:r>
      <w:r w:rsidRPr="00D5654E">
        <w:rPr>
          <w:rFonts w:asciiTheme="majorHAnsi" w:hAnsiTheme="majorHAnsi" w:cstheme="majorHAnsi"/>
          <w:shd w:val="clear" w:color="auto" w:fill="FFFFFF"/>
        </w:rPr>
        <w:t xml:space="preserve">Although our system does not prevent all loss from occurring, but it will significantly reduce the risk of loss and increase the chance of identifying the responsible party.  This document </w:t>
      </w:r>
      <w:r w:rsidR="00FE4383" w:rsidRPr="00D5654E">
        <w:rPr>
          <w:rFonts w:asciiTheme="majorHAnsi" w:hAnsiTheme="majorHAnsi" w:cstheme="majorHAnsi"/>
          <w:shd w:val="clear" w:color="auto" w:fill="FFFFFF"/>
        </w:rPr>
        <w:t xml:space="preserve">aims to ensure the integrity of assets, allows for reliable accounting information and financial reporting, enhances efficiency within an organization, and provides guidelines and possible consequences for dealing with breaches. Internal controls drive many decisions and overall operational procedures within an organization. </w:t>
      </w:r>
    </w:p>
    <w:p w14:paraId="602B0D26" w14:textId="77777777" w:rsidR="00FE4383" w:rsidRPr="00FE4383" w:rsidRDefault="00FE4383" w:rsidP="00FE4383">
      <w:pPr>
        <w:shd w:val="clear" w:color="auto" w:fill="FFFFFF" w:themeFill="background1"/>
        <w:jc w:val="both"/>
        <w:rPr>
          <w:rFonts w:asciiTheme="majorHAnsi" w:hAnsiTheme="majorHAnsi" w:cstheme="majorHAnsi"/>
          <w:shd w:val="clear" w:color="auto" w:fill="FFFFFF"/>
        </w:rPr>
      </w:pPr>
    </w:p>
    <w:sectPr w:rsidR="00FE4383" w:rsidRPr="00FE4383" w:rsidSect="00131772">
      <w:footerReference w:type="even" r:id="rId21"/>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E8773" w14:textId="77777777" w:rsidR="007B5C48" w:rsidRDefault="007B5C48" w:rsidP="00AF5D6D">
      <w:r>
        <w:separator/>
      </w:r>
    </w:p>
  </w:endnote>
  <w:endnote w:type="continuationSeparator" w:id="0">
    <w:p w14:paraId="619CD88C" w14:textId="77777777" w:rsidR="007B5C48" w:rsidRDefault="007B5C48" w:rsidP="00AF5D6D">
      <w:r>
        <w:continuationSeparator/>
      </w:r>
    </w:p>
  </w:endnote>
  <w:endnote w:type="continuationNotice" w:id="1">
    <w:p w14:paraId="1467769D" w14:textId="77777777" w:rsidR="007B5C48" w:rsidRDefault="007B5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ontserrat">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5308959"/>
      <w:docPartObj>
        <w:docPartGallery w:val="Page Numbers (Bottom of Page)"/>
        <w:docPartUnique/>
      </w:docPartObj>
    </w:sdtPr>
    <w:sdtEndPr>
      <w:rPr>
        <w:rStyle w:val="PageNumber"/>
      </w:rPr>
    </w:sdtEndPr>
    <w:sdtContent>
      <w:p w14:paraId="647C722C" w14:textId="77777777" w:rsidR="00743A0F" w:rsidRDefault="00743A0F" w:rsidP="001C7D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4DE99" w14:textId="77777777" w:rsidR="00743A0F" w:rsidRDefault="00743A0F" w:rsidP="00AF5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5378277"/>
      <w:docPartObj>
        <w:docPartGallery w:val="Page Numbers (Bottom of Page)"/>
        <w:docPartUnique/>
      </w:docPartObj>
    </w:sdtPr>
    <w:sdtEndPr>
      <w:rPr>
        <w:rStyle w:val="PageNumber"/>
      </w:rPr>
    </w:sdtEndPr>
    <w:sdtContent>
      <w:p w14:paraId="143A3A80" w14:textId="77777777" w:rsidR="00743A0F" w:rsidRDefault="00743A0F" w:rsidP="001C7D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18E2F63A" w14:textId="77777777" w:rsidR="00743A0F" w:rsidRDefault="00743A0F" w:rsidP="00AF5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CD264" w14:textId="77777777" w:rsidR="007B5C48" w:rsidRDefault="007B5C48" w:rsidP="00AF5D6D">
      <w:r>
        <w:separator/>
      </w:r>
    </w:p>
  </w:footnote>
  <w:footnote w:type="continuationSeparator" w:id="0">
    <w:p w14:paraId="0039702C" w14:textId="77777777" w:rsidR="007B5C48" w:rsidRDefault="007B5C48" w:rsidP="00AF5D6D">
      <w:r>
        <w:continuationSeparator/>
      </w:r>
    </w:p>
  </w:footnote>
  <w:footnote w:type="continuationNotice" w:id="1">
    <w:p w14:paraId="748FBE14" w14:textId="77777777" w:rsidR="007B5C48" w:rsidRDefault="007B5C48"/>
  </w:footnote>
  <w:footnote w:id="2">
    <w:p w14:paraId="5336B591" w14:textId="77777777" w:rsidR="00743A0F" w:rsidRDefault="00743A0F">
      <w:pPr>
        <w:pStyle w:val="FootnoteText"/>
      </w:pPr>
      <w:r>
        <w:rPr>
          <w:rStyle w:val="FootnoteReference"/>
        </w:rPr>
        <w:footnoteRef/>
      </w:r>
      <w:r>
        <w:t xml:space="preserve"> </w:t>
      </w:r>
      <w:r w:rsidRPr="004F6423">
        <w:rPr>
          <w:rFonts w:asciiTheme="majorHAnsi" w:hAnsiTheme="majorHAnsi" w:cstheme="majorBidi"/>
          <w:color w:val="000000" w:themeColor="text1"/>
        </w:rPr>
        <w:t xml:space="preserve">https://www2.ed.gov/programs/restart/2018-hurricanerelief-pl109-148.docx.   </w:t>
      </w:r>
    </w:p>
  </w:footnote>
  <w:footnote w:id="3">
    <w:p w14:paraId="74E050DE" w14:textId="77777777" w:rsidR="00743A0F" w:rsidRDefault="00743A0F">
      <w:pPr>
        <w:pStyle w:val="FootnoteText"/>
      </w:pPr>
      <w:r>
        <w:rPr>
          <w:rStyle w:val="FootnoteReference"/>
        </w:rPr>
        <w:footnoteRef/>
      </w:r>
      <w:r>
        <w:t xml:space="preserve"> </w:t>
      </w:r>
      <w:r w:rsidRPr="00511200">
        <w:t>https://www2.ed.gov/policy/fund/reg/edgarReg/edgar.html</w:t>
      </w:r>
    </w:p>
  </w:footnote>
  <w:footnote w:id="4">
    <w:p w14:paraId="5C8B42A4" w14:textId="77777777" w:rsidR="00743A0F" w:rsidRPr="00342E9E" w:rsidRDefault="00743A0F" w:rsidP="005B5C47">
      <w:pPr>
        <w:pStyle w:val="IntenseQuote"/>
        <w:pBdr>
          <w:bottom w:val="none" w:sz="0" w:space="0" w:color="auto"/>
        </w:pBdr>
        <w:spacing w:before="0" w:after="0" w:line="240" w:lineRule="auto"/>
        <w:ind w:left="0"/>
        <w:rPr>
          <w:i w:val="0"/>
          <w:iCs w:val="0"/>
          <w:sz w:val="18"/>
          <w:szCs w:val="18"/>
        </w:rPr>
      </w:pPr>
      <w:r w:rsidRPr="00342E9E">
        <w:rPr>
          <w:rStyle w:val="FootnoteReference"/>
          <w:b w:val="0"/>
          <w:i w:val="0"/>
          <w:iCs w:val="0"/>
          <w:color w:val="auto"/>
          <w:sz w:val="18"/>
          <w:szCs w:val="18"/>
        </w:rPr>
        <w:footnoteRef/>
      </w:r>
      <w:r w:rsidRPr="00342E9E">
        <w:rPr>
          <w:b w:val="0"/>
          <w:i w:val="0"/>
          <w:iCs w:val="0"/>
          <w:color w:val="auto"/>
          <w:sz w:val="18"/>
          <w:szCs w:val="18"/>
        </w:rPr>
        <w:t xml:space="preserve"> </w:t>
      </w:r>
      <w:r w:rsidRPr="00342E9E">
        <w:rPr>
          <w:rFonts w:asciiTheme="majorHAnsi" w:hAnsiTheme="majorHAnsi" w:cstheme="majorHAnsi"/>
          <w:b w:val="0"/>
          <w:i w:val="0"/>
          <w:iCs w:val="0"/>
          <w:color w:val="auto"/>
          <w:sz w:val="18"/>
          <w:szCs w:val="18"/>
        </w:rPr>
        <w:t xml:space="preserve">For further details of the PRDE internal control system you may refer to the </w:t>
      </w:r>
      <w:r w:rsidRPr="00342E9E">
        <w:rPr>
          <w:rFonts w:asciiTheme="majorHAnsi" w:hAnsiTheme="majorHAnsi" w:cstheme="majorHAnsi"/>
          <w:bCs w:val="0"/>
          <w:i w:val="0"/>
          <w:iCs w:val="0"/>
          <w:color w:val="auto"/>
          <w:sz w:val="18"/>
          <w:szCs w:val="18"/>
        </w:rPr>
        <w:t>PRDE Restart Unit Internal Control review component and principles evaluation guide 2020.02</w:t>
      </w:r>
    </w:p>
  </w:footnote>
  <w:footnote w:id="5">
    <w:p w14:paraId="6588804B" w14:textId="77777777" w:rsidR="00743A0F" w:rsidRDefault="00743A0F" w:rsidP="005B5C47">
      <w:pPr>
        <w:pStyle w:val="FootnoteText"/>
      </w:pPr>
      <w:r w:rsidRPr="005B5C47">
        <w:rPr>
          <w:rStyle w:val="FootnoteReference"/>
          <w:sz w:val="18"/>
          <w:szCs w:val="18"/>
        </w:rPr>
        <w:footnoteRef/>
      </w:r>
      <w:r w:rsidRPr="005B5C47">
        <w:rPr>
          <w:sz w:val="18"/>
          <w:szCs w:val="18"/>
        </w:rPr>
        <w:t xml:space="preserve"> https://www.coso.org/Pages/default.aspx</w:t>
      </w:r>
    </w:p>
  </w:footnote>
  <w:footnote w:id="6">
    <w:p w14:paraId="40AE9A9B" w14:textId="77777777" w:rsidR="00743A0F" w:rsidRDefault="00743A0F">
      <w:pPr>
        <w:pStyle w:val="FootnoteText"/>
      </w:pPr>
      <w:r>
        <w:rPr>
          <w:rStyle w:val="FootnoteReference"/>
        </w:rPr>
        <w:footnoteRef/>
      </w:r>
      <w:r>
        <w:t xml:space="preserve"> </w:t>
      </w:r>
      <w:r w:rsidRPr="004F6423">
        <w:t>https://www.whitehouse.gov/wp-content/uploads/2019/07/2-CFR_Part-200_Appendix-XI_Compliance-Supplement_2019_FINAL_07.01.19.pdf</w:t>
      </w:r>
    </w:p>
  </w:footnote>
  <w:footnote w:id="7">
    <w:p w14:paraId="056E1297" w14:textId="0436E524" w:rsidR="00743A0F" w:rsidRPr="00342E9E" w:rsidRDefault="00743A0F">
      <w:pPr>
        <w:pStyle w:val="FootnoteText"/>
      </w:pPr>
      <w:r>
        <w:rPr>
          <w:rStyle w:val="FootnoteReference"/>
        </w:rPr>
        <w:footnoteRef/>
      </w:r>
      <w:r>
        <w:t xml:space="preserve"> </w:t>
      </w:r>
      <w:r w:rsidRPr="00342E9E">
        <w:rPr>
          <w:rFonts w:asciiTheme="majorHAnsi" w:hAnsiTheme="majorHAnsi" w:cstheme="majorHAnsi"/>
        </w:rPr>
        <w:t>For the s</w:t>
      </w:r>
      <w:r w:rsidRPr="00342E9E">
        <w:t xml:space="preserve">pecific functions and responsibilities of the personnel under de RESTART Office </w:t>
      </w:r>
      <w:r w:rsidRPr="00342E9E">
        <w:rPr>
          <w:rFonts w:asciiTheme="majorHAnsi" w:hAnsiTheme="majorHAnsi" w:cstheme="majorHAnsi"/>
        </w:rPr>
        <w:t xml:space="preserve">you may refer to the </w:t>
      </w:r>
      <w:r w:rsidRPr="00342E9E">
        <w:rPr>
          <w:rFonts w:asciiTheme="majorHAnsi" w:hAnsiTheme="majorHAnsi" w:cstheme="majorHAnsi"/>
          <w:bCs/>
        </w:rPr>
        <w:t>PRDE Restart Unit Internal Control Review Component and Principles Evaluation Guide 2020.02, Appendix.</w:t>
      </w:r>
    </w:p>
  </w:footnote>
  <w:footnote w:id="8">
    <w:p w14:paraId="6ACBDC02" w14:textId="77777777" w:rsidR="00743A0F" w:rsidRDefault="00743A0F">
      <w:pPr>
        <w:pStyle w:val="FootnoteText"/>
      </w:pPr>
      <w:r>
        <w:rPr>
          <w:rStyle w:val="FootnoteReference"/>
        </w:rPr>
        <w:footnoteRef/>
      </w:r>
      <w:r>
        <w:t xml:space="preserve"> </w:t>
      </w:r>
      <w:hyperlink r:id="rId1" w:history="1">
        <w:r w:rsidRPr="00342E9E">
          <w:rPr>
            <w:rStyle w:val="Hyperlink"/>
            <w:color w:val="auto"/>
          </w:rPr>
          <w:t>https://www.coso.org/Pages/ic.aspx</w:t>
        </w:r>
      </w:hyperlink>
    </w:p>
  </w:footnote>
  <w:footnote w:id="9">
    <w:p w14:paraId="29C41890" w14:textId="77777777" w:rsidR="00743A0F" w:rsidRDefault="00743A0F">
      <w:pPr>
        <w:pStyle w:val="FootnoteText"/>
      </w:pPr>
      <w:r>
        <w:rPr>
          <w:rStyle w:val="FootnoteReference"/>
        </w:rPr>
        <w:footnoteRef/>
      </w:r>
      <w:r>
        <w:t xml:space="preserve"> </w:t>
      </w:r>
      <w:r w:rsidRPr="005E580E">
        <w:t>https://www.gao.gov/greenbook/overview</w:t>
      </w:r>
    </w:p>
  </w:footnote>
  <w:footnote w:id="10">
    <w:p w14:paraId="62EF0C13" w14:textId="77777777" w:rsidR="00743A0F" w:rsidRDefault="00743A0F" w:rsidP="002C0E6B">
      <w:pPr>
        <w:pStyle w:val="FootnoteText"/>
      </w:pPr>
      <w:r>
        <w:rPr>
          <w:rStyle w:val="FootnoteReference"/>
        </w:rPr>
        <w:footnoteRef/>
      </w:r>
      <w:r>
        <w:t xml:space="preserve"> Procurement Reform 2019: ACT 73-2019 also known as the General Services Administration (GSA) for the centralization of Purchases of the Government of Puerto Rico</w:t>
      </w:r>
    </w:p>
  </w:footnote>
  <w:footnote w:id="11">
    <w:p w14:paraId="07AF24D9" w14:textId="2ED113A1" w:rsidR="00743A0F" w:rsidRDefault="00743A0F" w:rsidP="00F54322">
      <w:pPr>
        <w:pStyle w:val="FootnoteText"/>
      </w:pPr>
      <w:r>
        <w:rPr>
          <w:rStyle w:val="FootnoteReference"/>
        </w:rPr>
        <w:footnoteRef/>
      </w:r>
      <w:r>
        <w:t xml:space="preserve"> PRDE will provide a copy USDE once the manual is complete.</w:t>
      </w:r>
    </w:p>
  </w:footnote>
  <w:footnote w:id="12">
    <w:p w14:paraId="65255A8B" w14:textId="77777777" w:rsidR="00743A0F" w:rsidRDefault="00743A0F" w:rsidP="002C4B42">
      <w:pPr>
        <w:pStyle w:val="FootnoteText"/>
      </w:pPr>
      <w:r>
        <w:rPr>
          <w:rStyle w:val="FootnoteReference"/>
        </w:rPr>
        <w:footnoteRef/>
      </w:r>
      <w:r>
        <w:t xml:space="preserve"> Specific tools were developed to assess each compliance component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F59"/>
    <w:multiLevelType w:val="hybridMultilevel"/>
    <w:tmpl w:val="7F4CF6FC"/>
    <w:lvl w:ilvl="0" w:tplc="04090003">
      <w:start w:val="1"/>
      <w:numFmt w:val="bullet"/>
      <w:lvlText w:val="o"/>
      <w:lvlJc w:val="left"/>
      <w:pPr>
        <w:ind w:left="720" w:hanging="360"/>
      </w:pPr>
      <w:rPr>
        <w:rFonts w:ascii="Courier New" w:hAnsi="Courier New" w:cs="Courier New" w:hint="default"/>
      </w:rPr>
    </w:lvl>
    <w:lvl w:ilvl="1" w:tplc="42507F7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22E9"/>
    <w:multiLevelType w:val="multilevel"/>
    <w:tmpl w:val="136C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C30A4"/>
    <w:multiLevelType w:val="hybridMultilevel"/>
    <w:tmpl w:val="7C507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A17A6"/>
    <w:multiLevelType w:val="multilevel"/>
    <w:tmpl w:val="FAE2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940FA"/>
    <w:multiLevelType w:val="hybridMultilevel"/>
    <w:tmpl w:val="D360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66CCB"/>
    <w:multiLevelType w:val="hybridMultilevel"/>
    <w:tmpl w:val="00C4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C1155"/>
    <w:multiLevelType w:val="hybridMultilevel"/>
    <w:tmpl w:val="2EA0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14976"/>
    <w:multiLevelType w:val="hybridMultilevel"/>
    <w:tmpl w:val="069CE3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513C6"/>
    <w:multiLevelType w:val="hybridMultilevel"/>
    <w:tmpl w:val="68A84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A1CC0"/>
    <w:multiLevelType w:val="hybridMultilevel"/>
    <w:tmpl w:val="6E04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9333D"/>
    <w:multiLevelType w:val="hybridMultilevel"/>
    <w:tmpl w:val="DFFA35DE"/>
    <w:lvl w:ilvl="0" w:tplc="04090003">
      <w:start w:val="1"/>
      <w:numFmt w:val="bullet"/>
      <w:lvlText w:val="o"/>
      <w:lvlJc w:val="left"/>
      <w:pPr>
        <w:ind w:left="1350" w:hanging="360"/>
      </w:pPr>
      <w:rPr>
        <w:rFonts w:ascii="Courier New" w:hAnsi="Courier New" w:cs="Courier New" w:hint="default"/>
        <w:color w:val="auto"/>
      </w:rPr>
    </w:lvl>
    <w:lvl w:ilvl="1" w:tplc="500A0003">
      <w:start w:val="1"/>
      <w:numFmt w:val="bullet"/>
      <w:lvlText w:val="o"/>
      <w:lvlJc w:val="left"/>
      <w:pPr>
        <w:ind w:left="2070" w:hanging="360"/>
      </w:pPr>
      <w:rPr>
        <w:rFonts w:ascii="Courier New" w:hAnsi="Courier New" w:cs="Courier New" w:hint="default"/>
      </w:rPr>
    </w:lvl>
    <w:lvl w:ilvl="2" w:tplc="500A0005">
      <w:start w:val="1"/>
      <w:numFmt w:val="bullet"/>
      <w:lvlText w:val=""/>
      <w:lvlJc w:val="left"/>
      <w:pPr>
        <w:ind w:left="2790" w:hanging="360"/>
      </w:pPr>
      <w:rPr>
        <w:rFonts w:ascii="Wingdings" w:hAnsi="Wingdings" w:hint="default"/>
      </w:rPr>
    </w:lvl>
    <w:lvl w:ilvl="3" w:tplc="500A0001">
      <w:start w:val="1"/>
      <w:numFmt w:val="bullet"/>
      <w:lvlText w:val=""/>
      <w:lvlJc w:val="left"/>
      <w:pPr>
        <w:ind w:left="3510" w:hanging="360"/>
      </w:pPr>
      <w:rPr>
        <w:rFonts w:ascii="Symbol" w:hAnsi="Symbol" w:hint="default"/>
      </w:rPr>
    </w:lvl>
    <w:lvl w:ilvl="4" w:tplc="500A0003">
      <w:start w:val="1"/>
      <w:numFmt w:val="bullet"/>
      <w:lvlText w:val="o"/>
      <w:lvlJc w:val="left"/>
      <w:pPr>
        <w:ind w:left="4230" w:hanging="360"/>
      </w:pPr>
      <w:rPr>
        <w:rFonts w:ascii="Courier New" w:hAnsi="Courier New" w:cs="Courier New" w:hint="default"/>
      </w:rPr>
    </w:lvl>
    <w:lvl w:ilvl="5" w:tplc="500A0005">
      <w:start w:val="1"/>
      <w:numFmt w:val="bullet"/>
      <w:lvlText w:val=""/>
      <w:lvlJc w:val="left"/>
      <w:pPr>
        <w:ind w:left="4950" w:hanging="360"/>
      </w:pPr>
      <w:rPr>
        <w:rFonts w:ascii="Wingdings" w:hAnsi="Wingdings" w:hint="default"/>
      </w:rPr>
    </w:lvl>
    <w:lvl w:ilvl="6" w:tplc="500A0001">
      <w:start w:val="1"/>
      <w:numFmt w:val="bullet"/>
      <w:lvlText w:val=""/>
      <w:lvlJc w:val="left"/>
      <w:pPr>
        <w:ind w:left="5670" w:hanging="360"/>
      </w:pPr>
      <w:rPr>
        <w:rFonts w:ascii="Symbol" w:hAnsi="Symbol" w:hint="default"/>
      </w:rPr>
    </w:lvl>
    <w:lvl w:ilvl="7" w:tplc="500A0003">
      <w:start w:val="1"/>
      <w:numFmt w:val="bullet"/>
      <w:lvlText w:val="o"/>
      <w:lvlJc w:val="left"/>
      <w:pPr>
        <w:ind w:left="6390" w:hanging="360"/>
      </w:pPr>
      <w:rPr>
        <w:rFonts w:ascii="Courier New" w:hAnsi="Courier New" w:cs="Courier New" w:hint="default"/>
      </w:rPr>
    </w:lvl>
    <w:lvl w:ilvl="8" w:tplc="500A0005">
      <w:start w:val="1"/>
      <w:numFmt w:val="bullet"/>
      <w:lvlText w:val=""/>
      <w:lvlJc w:val="left"/>
      <w:pPr>
        <w:ind w:left="7110" w:hanging="360"/>
      </w:pPr>
      <w:rPr>
        <w:rFonts w:ascii="Wingdings" w:hAnsi="Wingdings" w:hint="default"/>
      </w:rPr>
    </w:lvl>
  </w:abstractNum>
  <w:abstractNum w:abstractNumId="11" w15:restartNumberingAfterBreak="0">
    <w:nsid w:val="436A6D87"/>
    <w:multiLevelType w:val="hybridMultilevel"/>
    <w:tmpl w:val="208C0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169CC"/>
    <w:multiLevelType w:val="hybridMultilevel"/>
    <w:tmpl w:val="1D409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B0E36"/>
    <w:multiLevelType w:val="hybridMultilevel"/>
    <w:tmpl w:val="CFD6EB7A"/>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492209D"/>
    <w:multiLevelType w:val="hybridMultilevel"/>
    <w:tmpl w:val="ACDCF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1534"/>
    <w:multiLevelType w:val="hybridMultilevel"/>
    <w:tmpl w:val="DE6A211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15:restartNumberingAfterBreak="0">
    <w:nsid w:val="5B5C340F"/>
    <w:multiLevelType w:val="hybridMultilevel"/>
    <w:tmpl w:val="E2208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82718A"/>
    <w:multiLevelType w:val="hybridMultilevel"/>
    <w:tmpl w:val="0D327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13DA3"/>
    <w:multiLevelType w:val="hybridMultilevel"/>
    <w:tmpl w:val="5CA22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257EF"/>
    <w:multiLevelType w:val="hybridMultilevel"/>
    <w:tmpl w:val="83EA3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D1F9B"/>
    <w:multiLevelType w:val="hybridMultilevel"/>
    <w:tmpl w:val="48A8C6D8"/>
    <w:lvl w:ilvl="0" w:tplc="C5201318">
      <w:start w:val="1"/>
      <w:numFmt w:val="bullet"/>
      <w:lvlText w:val=""/>
      <w:lvlJc w:val="left"/>
      <w:pPr>
        <w:ind w:left="1350" w:hanging="360"/>
      </w:pPr>
      <w:rPr>
        <w:rFonts w:ascii="Symbol" w:hAnsi="Symbol" w:hint="default"/>
        <w:color w:val="auto"/>
      </w:rPr>
    </w:lvl>
    <w:lvl w:ilvl="1" w:tplc="500A0003">
      <w:start w:val="1"/>
      <w:numFmt w:val="bullet"/>
      <w:lvlText w:val="o"/>
      <w:lvlJc w:val="left"/>
      <w:pPr>
        <w:ind w:left="2070" w:hanging="360"/>
      </w:pPr>
      <w:rPr>
        <w:rFonts w:ascii="Courier New" w:hAnsi="Courier New" w:cs="Courier New" w:hint="default"/>
      </w:rPr>
    </w:lvl>
    <w:lvl w:ilvl="2" w:tplc="500A0005">
      <w:start w:val="1"/>
      <w:numFmt w:val="bullet"/>
      <w:lvlText w:val=""/>
      <w:lvlJc w:val="left"/>
      <w:pPr>
        <w:ind w:left="2790" w:hanging="360"/>
      </w:pPr>
      <w:rPr>
        <w:rFonts w:ascii="Wingdings" w:hAnsi="Wingdings" w:hint="default"/>
      </w:rPr>
    </w:lvl>
    <w:lvl w:ilvl="3" w:tplc="500A0001">
      <w:start w:val="1"/>
      <w:numFmt w:val="bullet"/>
      <w:lvlText w:val=""/>
      <w:lvlJc w:val="left"/>
      <w:pPr>
        <w:ind w:left="3510" w:hanging="360"/>
      </w:pPr>
      <w:rPr>
        <w:rFonts w:ascii="Symbol" w:hAnsi="Symbol" w:hint="default"/>
      </w:rPr>
    </w:lvl>
    <w:lvl w:ilvl="4" w:tplc="500A0003">
      <w:start w:val="1"/>
      <w:numFmt w:val="bullet"/>
      <w:lvlText w:val="o"/>
      <w:lvlJc w:val="left"/>
      <w:pPr>
        <w:ind w:left="4230" w:hanging="360"/>
      </w:pPr>
      <w:rPr>
        <w:rFonts w:ascii="Courier New" w:hAnsi="Courier New" w:cs="Courier New" w:hint="default"/>
      </w:rPr>
    </w:lvl>
    <w:lvl w:ilvl="5" w:tplc="500A0005">
      <w:start w:val="1"/>
      <w:numFmt w:val="bullet"/>
      <w:lvlText w:val=""/>
      <w:lvlJc w:val="left"/>
      <w:pPr>
        <w:ind w:left="4950" w:hanging="360"/>
      </w:pPr>
      <w:rPr>
        <w:rFonts w:ascii="Wingdings" w:hAnsi="Wingdings" w:hint="default"/>
      </w:rPr>
    </w:lvl>
    <w:lvl w:ilvl="6" w:tplc="500A0001">
      <w:start w:val="1"/>
      <w:numFmt w:val="bullet"/>
      <w:lvlText w:val=""/>
      <w:lvlJc w:val="left"/>
      <w:pPr>
        <w:ind w:left="5670" w:hanging="360"/>
      </w:pPr>
      <w:rPr>
        <w:rFonts w:ascii="Symbol" w:hAnsi="Symbol" w:hint="default"/>
      </w:rPr>
    </w:lvl>
    <w:lvl w:ilvl="7" w:tplc="500A0003">
      <w:start w:val="1"/>
      <w:numFmt w:val="bullet"/>
      <w:lvlText w:val="o"/>
      <w:lvlJc w:val="left"/>
      <w:pPr>
        <w:ind w:left="6390" w:hanging="360"/>
      </w:pPr>
      <w:rPr>
        <w:rFonts w:ascii="Courier New" w:hAnsi="Courier New" w:cs="Courier New" w:hint="default"/>
      </w:rPr>
    </w:lvl>
    <w:lvl w:ilvl="8" w:tplc="500A0005">
      <w:start w:val="1"/>
      <w:numFmt w:val="bullet"/>
      <w:lvlText w:val=""/>
      <w:lvlJc w:val="left"/>
      <w:pPr>
        <w:ind w:left="7110" w:hanging="360"/>
      </w:pPr>
      <w:rPr>
        <w:rFonts w:ascii="Wingdings" w:hAnsi="Wingdings" w:hint="default"/>
      </w:rPr>
    </w:lvl>
  </w:abstractNum>
  <w:abstractNum w:abstractNumId="21" w15:restartNumberingAfterBreak="0">
    <w:nsid w:val="6E5457AD"/>
    <w:multiLevelType w:val="hybridMultilevel"/>
    <w:tmpl w:val="9CCE114C"/>
    <w:lvl w:ilvl="0" w:tplc="F462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E48B7"/>
    <w:multiLevelType w:val="hybridMultilevel"/>
    <w:tmpl w:val="B180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A7127"/>
    <w:multiLevelType w:val="hybridMultilevel"/>
    <w:tmpl w:val="78C6E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23644"/>
    <w:multiLevelType w:val="hybridMultilevel"/>
    <w:tmpl w:val="2E00FC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
  </w:num>
  <w:num w:numId="4">
    <w:abstractNumId w:val="5"/>
  </w:num>
  <w:num w:numId="5">
    <w:abstractNumId w:val="0"/>
  </w:num>
  <w:num w:numId="6">
    <w:abstractNumId w:val="19"/>
  </w:num>
  <w:num w:numId="7">
    <w:abstractNumId w:val="7"/>
  </w:num>
  <w:num w:numId="8">
    <w:abstractNumId w:val="11"/>
  </w:num>
  <w:num w:numId="9">
    <w:abstractNumId w:val="12"/>
  </w:num>
  <w:num w:numId="10">
    <w:abstractNumId w:val="13"/>
  </w:num>
  <w:num w:numId="11">
    <w:abstractNumId w:val="2"/>
  </w:num>
  <w:num w:numId="12">
    <w:abstractNumId w:val="14"/>
  </w:num>
  <w:num w:numId="13">
    <w:abstractNumId w:val="24"/>
  </w:num>
  <w:num w:numId="14">
    <w:abstractNumId w:val="17"/>
  </w:num>
  <w:num w:numId="15">
    <w:abstractNumId w:val="8"/>
  </w:num>
  <w:num w:numId="16">
    <w:abstractNumId w:val="22"/>
  </w:num>
  <w:num w:numId="17">
    <w:abstractNumId w:val="9"/>
  </w:num>
  <w:num w:numId="18">
    <w:abstractNumId w:val="3"/>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20"/>
  </w:num>
  <w:num w:numId="24">
    <w:abstractNumId w:val="10"/>
  </w:num>
  <w:num w:numId="25">
    <w:abstractNumId w:val="21"/>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1D"/>
    <w:rsid w:val="0000034C"/>
    <w:rsid w:val="00000A61"/>
    <w:rsid w:val="00001612"/>
    <w:rsid w:val="00004E68"/>
    <w:rsid w:val="00005D3D"/>
    <w:rsid w:val="00006C90"/>
    <w:rsid w:val="00007FAD"/>
    <w:rsid w:val="00010363"/>
    <w:rsid w:val="000152AB"/>
    <w:rsid w:val="0001644E"/>
    <w:rsid w:val="000165F8"/>
    <w:rsid w:val="00017B95"/>
    <w:rsid w:val="00020642"/>
    <w:rsid w:val="00022265"/>
    <w:rsid w:val="00026912"/>
    <w:rsid w:val="000301BA"/>
    <w:rsid w:val="0003057D"/>
    <w:rsid w:val="0003096F"/>
    <w:rsid w:val="00032CBA"/>
    <w:rsid w:val="00034E38"/>
    <w:rsid w:val="00034F0A"/>
    <w:rsid w:val="00035F06"/>
    <w:rsid w:val="00037913"/>
    <w:rsid w:val="000400BA"/>
    <w:rsid w:val="0004019B"/>
    <w:rsid w:val="00040E0B"/>
    <w:rsid w:val="000411BB"/>
    <w:rsid w:val="000422FC"/>
    <w:rsid w:val="00043429"/>
    <w:rsid w:val="00044E23"/>
    <w:rsid w:val="000455F9"/>
    <w:rsid w:val="00046D7B"/>
    <w:rsid w:val="00056F18"/>
    <w:rsid w:val="0006296F"/>
    <w:rsid w:val="000630D5"/>
    <w:rsid w:val="00066FF9"/>
    <w:rsid w:val="00067813"/>
    <w:rsid w:val="0007064D"/>
    <w:rsid w:val="00072D40"/>
    <w:rsid w:val="00072E0B"/>
    <w:rsid w:val="000748B0"/>
    <w:rsid w:val="00074915"/>
    <w:rsid w:val="00075C0F"/>
    <w:rsid w:val="0008069E"/>
    <w:rsid w:val="000846E0"/>
    <w:rsid w:val="00085A33"/>
    <w:rsid w:val="00087D74"/>
    <w:rsid w:val="0009363C"/>
    <w:rsid w:val="0009756C"/>
    <w:rsid w:val="000A0661"/>
    <w:rsid w:val="000A193F"/>
    <w:rsid w:val="000A513F"/>
    <w:rsid w:val="000B00AA"/>
    <w:rsid w:val="000B287D"/>
    <w:rsid w:val="000B2892"/>
    <w:rsid w:val="000B415A"/>
    <w:rsid w:val="000B4228"/>
    <w:rsid w:val="000B44EE"/>
    <w:rsid w:val="000B4E80"/>
    <w:rsid w:val="000B712D"/>
    <w:rsid w:val="000C0ED3"/>
    <w:rsid w:val="000C213C"/>
    <w:rsid w:val="000C222F"/>
    <w:rsid w:val="000C24C3"/>
    <w:rsid w:val="000C6570"/>
    <w:rsid w:val="000C6A0D"/>
    <w:rsid w:val="000C74FD"/>
    <w:rsid w:val="000C7A60"/>
    <w:rsid w:val="000D0B08"/>
    <w:rsid w:val="000D1472"/>
    <w:rsid w:val="000D4320"/>
    <w:rsid w:val="000D45B5"/>
    <w:rsid w:val="000D65E2"/>
    <w:rsid w:val="000E04A0"/>
    <w:rsid w:val="000E0EBE"/>
    <w:rsid w:val="000E345F"/>
    <w:rsid w:val="000E4054"/>
    <w:rsid w:val="000E4409"/>
    <w:rsid w:val="000E6259"/>
    <w:rsid w:val="000E64C0"/>
    <w:rsid w:val="000E784D"/>
    <w:rsid w:val="000F247E"/>
    <w:rsid w:val="000F2715"/>
    <w:rsid w:val="000F30C4"/>
    <w:rsid w:val="000F551B"/>
    <w:rsid w:val="000F7E51"/>
    <w:rsid w:val="001065EA"/>
    <w:rsid w:val="00110138"/>
    <w:rsid w:val="00112732"/>
    <w:rsid w:val="00113A96"/>
    <w:rsid w:val="00114CCF"/>
    <w:rsid w:val="001163F1"/>
    <w:rsid w:val="00116B7B"/>
    <w:rsid w:val="00117F96"/>
    <w:rsid w:val="0012187D"/>
    <w:rsid w:val="00122BFF"/>
    <w:rsid w:val="0012387D"/>
    <w:rsid w:val="00126218"/>
    <w:rsid w:val="00126638"/>
    <w:rsid w:val="00126F8C"/>
    <w:rsid w:val="001304BE"/>
    <w:rsid w:val="00131772"/>
    <w:rsid w:val="00131801"/>
    <w:rsid w:val="00132C41"/>
    <w:rsid w:val="001331FC"/>
    <w:rsid w:val="00134B00"/>
    <w:rsid w:val="00135665"/>
    <w:rsid w:val="00140ACD"/>
    <w:rsid w:val="00142054"/>
    <w:rsid w:val="001456E5"/>
    <w:rsid w:val="00147815"/>
    <w:rsid w:val="00150427"/>
    <w:rsid w:val="001556EA"/>
    <w:rsid w:val="001575BC"/>
    <w:rsid w:val="00157D2C"/>
    <w:rsid w:val="00160E62"/>
    <w:rsid w:val="0016261F"/>
    <w:rsid w:val="0016572F"/>
    <w:rsid w:val="00175108"/>
    <w:rsid w:val="00175437"/>
    <w:rsid w:val="00175E23"/>
    <w:rsid w:val="0017649D"/>
    <w:rsid w:val="001814BD"/>
    <w:rsid w:val="0018264B"/>
    <w:rsid w:val="00183A22"/>
    <w:rsid w:val="00184838"/>
    <w:rsid w:val="00185D8E"/>
    <w:rsid w:val="0018640A"/>
    <w:rsid w:val="00190075"/>
    <w:rsid w:val="00193ADE"/>
    <w:rsid w:val="0019485D"/>
    <w:rsid w:val="00197D1E"/>
    <w:rsid w:val="001A58E3"/>
    <w:rsid w:val="001A593E"/>
    <w:rsid w:val="001A75D8"/>
    <w:rsid w:val="001B18EA"/>
    <w:rsid w:val="001B44CD"/>
    <w:rsid w:val="001B50CE"/>
    <w:rsid w:val="001B6B2F"/>
    <w:rsid w:val="001B7D8C"/>
    <w:rsid w:val="001C0876"/>
    <w:rsid w:val="001C097D"/>
    <w:rsid w:val="001C15F3"/>
    <w:rsid w:val="001C1ACB"/>
    <w:rsid w:val="001C267C"/>
    <w:rsid w:val="001C4F03"/>
    <w:rsid w:val="001C7DD2"/>
    <w:rsid w:val="001D40B7"/>
    <w:rsid w:val="001D5BB8"/>
    <w:rsid w:val="001D6B35"/>
    <w:rsid w:val="001E0FFB"/>
    <w:rsid w:val="001E6538"/>
    <w:rsid w:val="001E6B3F"/>
    <w:rsid w:val="001F1652"/>
    <w:rsid w:val="001F3660"/>
    <w:rsid w:val="001F583A"/>
    <w:rsid w:val="00200A91"/>
    <w:rsid w:val="00203656"/>
    <w:rsid w:val="00203BA1"/>
    <w:rsid w:val="00211087"/>
    <w:rsid w:val="00211A65"/>
    <w:rsid w:val="00217687"/>
    <w:rsid w:val="00217764"/>
    <w:rsid w:val="002234D4"/>
    <w:rsid w:val="002240CD"/>
    <w:rsid w:val="00224308"/>
    <w:rsid w:val="00225F30"/>
    <w:rsid w:val="002264DC"/>
    <w:rsid w:val="00230233"/>
    <w:rsid w:val="002302D6"/>
    <w:rsid w:val="00230F27"/>
    <w:rsid w:val="0023345B"/>
    <w:rsid w:val="00234C4E"/>
    <w:rsid w:val="00235186"/>
    <w:rsid w:val="00242003"/>
    <w:rsid w:val="00242951"/>
    <w:rsid w:val="00243119"/>
    <w:rsid w:val="00244055"/>
    <w:rsid w:val="0024421F"/>
    <w:rsid w:val="0024560C"/>
    <w:rsid w:val="00246327"/>
    <w:rsid w:val="00246397"/>
    <w:rsid w:val="00246AB9"/>
    <w:rsid w:val="00246C0C"/>
    <w:rsid w:val="00247106"/>
    <w:rsid w:val="00247B0E"/>
    <w:rsid w:val="0025081A"/>
    <w:rsid w:val="00250CF9"/>
    <w:rsid w:val="002513FA"/>
    <w:rsid w:val="002541D3"/>
    <w:rsid w:val="00254B3E"/>
    <w:rsid w:val="002557B1"/>
    <w:rsid w:val="00263236"/>
    <w:rsid w:val="00263470"/>
    <w:rsid w:val="00270E0A"/>
    <w:rsid w:val="00270EFC"/>
    <w:rsid w:val="00282F72"/>
    <w:rsid w:val="00286F59"/>
    <w:rsid w:val="0028731F"/>
    <w:rsid w:val="00287B2C"/>
    <w:rsid w:val="00291288"/>
    <w:rsid w:val="0029264D"/>
    <w:rsid w:val="00292940"/>
    <w:rsid w:val="00293649"/>
    <w:rsid w:val="00293C95"/>
    <w:rsid w:val="002953D8"/>
    <w:rsid w:val="00296B70"/>
    <w:rsid w:val="00296B74"/>
    <w:rsid w:val="002A1B04"/>
    <w:rsid w:val="002A2E5B"/>
    <w:rsid w:val="002A3C07"/>
    <w:rsid w:val="002A558A"/>
    <w:rsid w:val="002A6EE8"/>
    <w:rsid w:val="002B079D"/>
    <w:rsid w:val="002B388C"/>
    <w:rsid w:val="002B6D7E"/>
    <w:rsid w:val="002B76E7"/>
    <w:rsid w:val="002C010E"/>
    <w:rsid w:val="002C0E6B"/>
    <w:rsid w:val="002C2380"/>
    <w:rsid w:val="002C3A02"/>
    <w:rsid w:val="002C4B42"/>
    <w:rsid w:val="002C7BD8"/>
    <w:rsid w:val="002D004E"/>
    <w:rsid w:val="002D0B82"/>
    <w:rsid w:val="002D185A"/>
    <w:rsid w:val="002D5953"/>
    <w:rsid w:val="002D650D"/>
    <w:rsid w:val="002D681A"/>
    <w:rsid w:val="002D7679"/>
    <w:rsid w:val="002E18EB"/>
    <w:rsid w:val="002E42D9"/>
    <w:rsid w:val="002E5218"/>
    <w:rsid w:val="002F62DB"/>
    <w:rsid w:val="002F6BDA"/>
    <w:rsid w:val="002F6FA1"/>
    <w:rsid w:val="002F765B"/>
    <w:rsid w:val="0030371B"/>
    <w:rsid w:val="0030721F"/>
    <w:rsid w:val="00310118"/>
    <w:rsid w:val="00310DFE"/>
    <w:rsid w:val="003121CE"/>
    <w:rsid w:val="00314205"/>
    <w:rsid w:val="003174D4"/>
    <w:rsid w:val="0031791C"/>
    <w:rsid w:val="00325191"/>
    <w:rsid w:val="00325AF7"/>
    <w:rsid w:val="0032607C"/>
    <w:rsid w:val="003279B6"/>
    <w:rsid w:val="00331897"/>
    <w:rsid w:val="0033222C"/>
    <w:rsid w:val="0033390A"/>
    <w:rsid w:val="00333BCD"/>
    <w:rsid w:val="0033457B"/>
    <w:rsid w:val="00334ABB"/>
    <w:rsid w:val="0033501A"/>
    <w:rsid w:val="0033573B"/>
    <w:rsid w:val="0033604B"/>
    <w:rsid w:val="00337FEC"/>
    <w:rsid w:val="00341E1D"/>
    <w:rsid w:val="00342970"/>
    <w:rsid w:val="00342E9E"/>
    <w:rsid w:val="00343379"/>
    <w:rsid w:val="003440E8"/>
    <w:rsid w:val="00345664"/>
    <w:rsid w:val="0034654D"/>
    <w:rsid w:val="00347702"/>
    <w:rsid w:val="00347E33"/>
    <w:rsid w:val="00350054"/>
    <w:rsid w:val="00350C88"/>
    <w:rsid w:val="0035199C"/>
    <w:rsid w:val="00353274"/>
    <w:rsid w:val="0035457D"/>
    <w:rsid w:val="00361933"/>
    <w:rsid w:val="003628D3"/>
    <w:rsid w:val="003652C6"/>
    <w:rsid w:val="00372B10"/>
    <w:rsid w:val="00375E36"/>
    <w:rsid w:val="00381B9E"/>
    <w:rsid w:val="003823DE"/>
    <w:rsid w:val="00384A45"/>
    <w:rsid w:val="0038619E"/>
    <w:rsid w:val="00391170"/>
    <w:rsid w:val="003919B7"/>
    <w:rsid w:val="0039225F"/>
    <w:rsid w:val="003963F3"/>
    <w:rsid w:val="0039645F"/>
    <w:rsid w:val="003A0A83"/>
    <w:rsid w:val="003A2CA2"/>
    <w:rsid w:val="003A5254"/>
    <w:rsid w:val="003B09C7"/>
    <w:rsid w:val="003B0CC2"/>
    <w:rsid w:val="003B1D63"/>
    <w:rsid w:val="003B3682"/>
    <w:rsid w:val="003B4352"/>
    <w:rsid w:val="003C0800"/>
    <w:rsid w:val="003C1482"/>
    <w:rsid w:val="003C2B26"/>
    <w:rsid w:val="003C2B3E"/>
    <w:rsid w:val="003C4AB4"/>
    <w:rsid w:val="003C4FBE"/>
    <w:rsid w:val="003C5F09"/>
    <w:rsid w:val="003C5F50"/>
    <w:rsid w:val="003D01A1"/>
    <w:rsid w:val="003D2077"/>
    <w:rsid w:val="003D387F"/>
    <w:rsid w:val="003D4182"/>
    <w:rsid w:val="003D4567"/>
    <w:rsid w:val="003D664A"/>
    <w:rsid w:val="003E32E7"/>
    <w:rsid w:val="003E495E"/>
    <w:rsid w:val="003E4DC3"/>
    <w:rsid w:val="003E5AE3"/>
    <w:rsid w:val="003E6CAE"/>
    <w:rsid w:val="003F0B04"/>
    <w:rsid w:val="003F5DB6"/>
    <w:rsid w:val="003F7C82"/>
    <w:rsid w:val="00401AC0"/>
    <w:rsid w:val="00402367"/>
    <w:rsid w:val="00407757"/>
    <w:rsid w:val="004100FE"/>
    <w:rsid w:val="00410707"/>
    <w:rsid w:val="00410796"/>
    <w:rsid w:val="004111BA"/>
    <w:rsid w:val="00411AE3"/>
    <w:rsid w:val="0041461F"/>
    <w:rsid w:val="0041555F"/>
    <w:rsid w:val="004210F8"/>
    <w:rsid w:val="004237F4"/>
    <w:rsid w:val="004242B3"/>
    <w:rsid w:val="0042566E"/>
    <w:rsid w:val="004279A5"/>
    <w:rsid w:val="00431F49"/>
    <w:rsid w:val="00432831"/>
    <w:rsid w:val="0043307B"/>
    <w:rsid w:val="00435785"/>
    <w:rsid w:val="0043651A"/>
    <w:rsid w:val="00436581"/>
    <w:rsid w:val="00437079"/>
    <w:rsid w:val="00437DBD"/>
    <w:rsid w:val="0044069C"/>
    <w:rsid w:val="004447DD"/>
    <w:rsid w:val="00445D21"/>
    <w:rsid w:val="004529E7"/>
    <w:rsid w:val="00455A9F"/>
    <w:rsid w:val="0045697A"/>
    <w:rsid w:val="0045701F"/>
    <w:rsid w:val="004641DF"/>
    <w:rsid w:val="0046500E"/>
    <w:rsid w:val="004708A9"/>
    <w:rsid w:val="00473AFE"/>
    <w:rsid w:val="004746BA"/>
    <w:rsid w:val="004830A4"/>
    <w:rsid w:val="00483745"/>
    <w:rsid w:val="004844B8"/>
    <w:rsid w:val="00484A8F"/>
    <w:rsid w:val="004859F8"/>
    <w:rsid w:val="00487C12"/>
    <w:rsid w:val="00490E57"/>
    <w:rsid w:val="0049270D"/>
    <w:rsid w:val="004935A8"/>
    <w:rsid w:val="0049429A"/>
    <w:rsid w:val="004A1115"/>
    <w:rsid w:val="004A1374"/>
    <w:rsid w:val="004A14CF"/>
    <w:rsid w:val="004A4351"/>
    <w:rsid w:val="004A4A88"/>
    <w:rsid w:val="004A56E7"/>
    <w:rsid w:val="004B0214"/>
    <w:rsid w:val="004B111D"/>
    <w:rsid w:val="004B37C3"/>
    <w:rsid w:val="004B5942"/>
    <w:rsid w:val="004B7E52"/>
    <w:rsid w:val="004C0EC8"/>
    <w:rsid w:val="004C12EC"/>
    <w:rsid w:val="004C2822"/>
    <w:rsid w:val="004C48FB"/>
    <w:rsid w:val="004C4A74"/>
    <w:rsid w:val="004D4AA8"/>
    <w:rsid w:val="004D664C"/>
    <w:rsid w:val="004D70D5"/>
    <w:rsid w:val="004D7B24"/>
    <w:rsid w:val="004E1228"/>
    <w:rsid w:val="004E4000"/>
    <w:rsid w:val="004E4B2C"/>
    <w:rsid w:val="004E4ED1"/>
    <w:rsid w:val="004E73A6"/>
    <w:rsid w:val="004F4D7F"/>
    <w:rsid w:val="004F6423"/>
    <w:rsid w:val="004F7E6D"/>
    <w:rsid w:val="0050026E"/>
    <w:rsid w:val="00502E70"/>
    <w:rsid w:val="005030E9"/>
    <w:rsid w:val="00505B3B"/>
    <w:rsid w:val="005079E2"/>
    <w:rsid w:val="00511200"/>
    <w:rsid w:val="00511437"/>
    <w:rsid w:val="0051507C"/>
    <w:rsid w:val="0051621F"/>
    <w:rsid w:val="00517BE6"/>
    <w:rsid w:val="00522C51"/>
    <w:rsid w:val="0052696F"/>
    <w:rsid w:val="00530DC2"/>
    <w:rsid w:val="00530E50"/>
    <w:rsid w:val="005346F8"/>
    <w:rsid w:val="0054023D"/>
    <w:rsid w:val="00540A2C"/>
    <w:rsid w:val="0054301E"/>
    <w:rsid w:val="005432FD"/>
    <w:rsid w:val="00545508"/>
    <w:rsid w:val="00546121"/>
    <w:rsid w:val="00547B9D"/>
    <w:rsid w:val="00552095"/>
    <w:rsid w:val="00553214"/>
    <w:rsid w:val="005536B4"/>
    <w:rsid w:val="0055447A"/>
    <w:rsid w:val="005614F3"/>
    <w:rsid w:val="00567446"/>
    <w:rsid w:val="00567E3E"/>
    <w:rsid w:val="00575354"/>
    <w:rsid w:val="00582127"/>
    <w:rsid w:val="00582B6B"/>
    <w:rsid w:val="00583BC4"/>
    <w:rsid w:val="00585669"/>
    <w:rsid w:val="00590D8E"/>
    <w:rsid w:val="0059178F"/>
    <w:rsid w:val="00592FA9"/>
    <w:rsid w:val="00593FDF"/>
    <w:rsid w:val="0059584D"/>
    <w:rsid w:val="00596C00"/>
    <w:rsid w:val="00597306"/>
    <w:rsid w:val="005A53C0"/>
    <w:rsid w:val="005A5473"/>
    <w:rsid w:val="005A5C34"/>
    <w:rsid w:val="005A709B"/>
    <w:rsid w:val="005B230F"/>
    <w:rsid w:val="005B5C47"/>
    <w:rsid w:val="005C4BBF"/>
    <w:rsid w:val="005C7387"/>
    <w:rsid w:val="005D078C"/>
    <w:rsid w:val="005D240F"/>
    <w:rsid w:val="005D331B"/>
    <w:rsid w:val="005D3E5A"/>
    <w:rsid w:val="005D427B"/>
    <w:rsid w:val="005D4AA9"/>
    <w:rsid w:val="005D7611"/>
    <w:rsid w:val="005E2572"/>
    <w:rsid w:val="005E580E"/>
    <w:rsid w:val="005F33F8"/>
    <w:rsid w:val="005F6847"/>
    <w:rsid w:val="00602375"/>
    <w:rsid w:val="00602D0E"/>
    <w:rsid w:val="00603D18"/>
    <w:rsid w:val="00604708"/>
    <w:rsid w:val="0061096D"/>
    <w:rsid w:val="00611003"/>
    <w:rsid w:val="00611671"/>
    <w:rsid w:val="00615EFF"/>
    <w:rsid w:val="00616C58"/>
    <w:rsid w:val="0062053B"/>
    <w:rsid w:val="00622130"/>
    <w:rsid w:val="0062600E"/>
    <w:rsid w:val="00626369"/>
    <w:rsid w:val="00626C1E"/>
    <w:rsid w:val="00630974"/>
    <w:rsid w:val="00632182"/>
    <w:rsid w:val="006331CF"/>
    <w:rsid w:val="006365ED"/>
    <w:rsid w:val="00637E87"/>
    <w:rsid w:val="0064175D"/>
    <w:rsid w:val="00642586"/>
    <w:rsid w:val="00644F68"/>
    <w:rsid w:val="00646065"/>
    <w:rsid w:val="00646288"/>
    <w:rsid w:val="006479BE"/>
    <w:rsid w:val="00651DA4"/>
    <w:rsid w:val="00652611"/>
    <w:rsid w:val="00653506"/>
    <w:rsid w:val="00657A0D"/>
    <w:rsid w:val="00665ADE"/>
    <w:rsid w:val="00666E3B"/>
    <w:rsid w:val="0067037A"/>
    <w:rsid w:val="006754E8"/>
    <w:rsid w:val="00680BCF"/>
    <w:rsid w:val="0068205D"/>
    <w:rsid w:val="006851AF"/>
    <w:rsid w:val="00690A1D"/>
    <w:rsid w:val="006926C2"/>
    <w:rsid w:val="00693CF0"/>
    <w:rsid w:val="00697D28"/>
    <w:rsid w:val="006A103B"/>
    <w:rsid w:val="006A2F2E"/>
    <w:rsid w:val="006A3F23"/>
    <w:rsid w:val="006A4FED"/>
    <w:rsid w:val="006A55B3"/>
    <w:rsid w:val="006A6B1E"/>
    <w:rsid w:val="006A773F"/>
    <w:rsid w:val="006B2E71"/>
    <w:rsid w:val="006B5503"/>
    <w:rsid w:val="006B5649"/>
    <w:rsid w:val="006B65E0"/>
    <w:rsid w:val="006B7AED"/>
    <w:rsid w:val="006C1566"/>
    <w:rsid w:val="006C1AD3"/>
    <w:rsid w:val="006C724B"/>
    <w:rsid w:val="006C7394"/>
    <w:rsid w:val="006C7902"/>
    <w:rsid w:val="006C7D4C"/>
    <w:rsid w:val="006D1BA3"/>
    <w:rsid w:val="006D48C8"/>
    <w:rsid w:val="006D48E5"/>
    <w:rsid w:val="006D511C"/>
    <w:rsid w:val="006E41E3"/>
    <w:rsid w:val="006E5B3E"/>
    <w:rsid w:val="006E61D3"/>
    <w:rsid w:val="006E6E4B"/>
    <w:rsid w:val="006E75C8"/>
    <w:rsid w:val="006F23B5"/>
    <w:rsid w:val="006F2C16"/>
    <w:rsid w:val="006F2EBE"/>
    <w:rsid w:val="006F5132"/>
    <w:rsid w:val="006F54AC"/>
    <w:rsid w:val="00702AEB"/>
    <w:rsid w:val="00702CDC"/>
    <w:rsid w:val="007077D0"/>
    <w:rsid w:val="00707B43"/>
    <w:rsid w:val="007147AD"/>
    <w:rsid w:val="00715239"/>
    <w:rsid w:val="00716C61"/>
    <w:rsid w:val="00716D3C"/>
    <w:rsid w:val="00722361"/>
    <w:rsid w:val="007242F9"/>
    <w:rsid w:val="00724E09"/>
    <w:rsid w:val="007257F3"/>
    <w:rsid w:val="007305C6"/>
    <w:rsid w:val="00730913"/>
    <w:rsid w:val="0073180F"/>
    <w:rsid w:val="0073192B"/>
    <w:rsid w:val="0073542E"/>
    <w:rsid w:val="007420EE"/>
    <w:rsid w:val="007430A0"/>
    <w:rsid w:val="007430CA"/>
    <w:rsid w:val="00743706"/>
    <w:rsid w:val="00743A0F"/>
    <w:rsid w:val="00747153"/>
    <w:rsid w:val="0075029C"/>
    <w:rsid w:val="007536A8"/>
    <w:rsid w:val="00754C50"/>
    <w:rsid w:val="00762AFF"/>
    <w:rsid w:val="007630E4"/>
    <w:rsid w:val="007631F3"/>
    <w:rsid w:val="007647FD"/>
    <w:rsid w:val="0076482E"/>
    <w:rsid w:val="00764D65"/>
    <w:rsid w:val="00764FF8"/>
    <w:rsid w:val="00771D6F"/>
    <w:rsid w:val="00774659"/>
    <w:rsid w:val="0077498B"/>
    <w:rsid w:val="007802DE"/>
    <w:rsid w:val="00780392"/>
    <w:rsid w:val="00780755"/>
    <w:rsid w:val="00781AD9"/>
    <w:rsid w:val="0078343A"/>
    <w:rsid w:val="007855C0"/>
    <w:rsid w:val="007860F3"/>
    <w:rsid w:val="0079045F"/>
    <w:rsid w:val="00791018"/>
    <w:rsid w:val="007914DC"/>
    <w:rsid w:val="00791DDA"/>
    <w:rsid w:val="00792391"/>
    <w:rsid w:val="00792989"/>
    <w:rsid w:val="007935A5"/>
    <w:rsid w:val="00795FC3"/>
    <w:rsid w:val="007962DA"/>
    <w:rsid w:val="007A2D35"/>
    <w:rsid w:val="007A318E"/>
    <w:rsid w:val="007A4175"/>
    <w:rsid w:val="007A671D"/>
    <w:rsid w:val="007B14F0"/>
    <w:rsid w:val="007B2402"/>
    <w:rsid w:val="007B5C48"/>
    <w:rsid w:val="007B5D9F"/>
    <w:rsid w:val="007B63A3"/>
    <w:rsid w:val="007C0D5F"/>
    <w:rsid w:val="007C0DB2"/>
    <w:rsid w:val="007C0FFE"/>
    <w:rsid w:val="007C1655"/>
    <w:rsid w:val="007C331C"/>
    <w:rsid w:val="007C3D49"/>
    <w:rsid w:val="007C3DFB"/>
    <w:rsid w:val="007C538A"/>
    <w:rsid w:val="007C7E27"/>
    <w:rsid w:val="007D079D"/>
    <w:rsid w:val="007D161C"/>
    <w:rsid w:val="007D6414"/>
    <w:rsid w:val="007E1038"/>
    <w:rsid w:val="007E1780"/>
    <w:rsid w:val="007E2853"/>
    <w:rsid w:val="007E691A"/>
    <w:rsid w:val="007E6AA3"/>
    <w:rsid w:val="007E6E0F"/>
    <w:rsid w:val="007E79F7"/>
    <w:rsid w:val="007F6187"/>
    <w:rsid w:val="008026FB"/>
    <w:rsid w:val="0080302D"/>
    <w:rsid w:val="008042AB"/>
    <w:rsid w:val="00806D43"/>
    <w:rsid w:val="00807714"/>
    <w:rsid w:val="00813C32"/>
    <w:rsid w:val="00820063"/>
    <w:rsid w:val="008209C0"/>
    <w:rsid w:val="00822EE7"/>
    <w:rsid w:val="00824606"/>
    <w:rsid w:val="008319C6"/>
    <w:rsid w:val="0083457D"/>
    <w:rsid w:val="00841DB4"/>
    <w:rsid w:val="00845F61"/>
    <w:rsid w:val="0084653A"/>
    <w:rsid w:val="00846712"/>
    <w:rsid w:val="008524AD"/>
    <w:rsid w:val="00853817"/>
    <w:rsid w:val="008545AE"/>
    <w:rsid w:val="00857C4C"/>
    <w:rsid w:val="0086009A"/>
    <w:rsid w:val="00860CD3"/>
    <w:rsid w:val="00860EDD"/>
    <w:rsid w:val="00864BB6"/>
    <w:rsid w:val="008673D3"/>
    <w:rsid w:val="00871DA4"/>
    <w:rsid w:val="00873D65"/>
    <w:rsid w:val="008762E5"/>
    <w:rsid w:val="00880F0E"/>
    <w:rsid w:val="0088200A"/>
    <w:rsid w:val="00882E70"/>
    <w:rsid w:val="0088318B"/>
    <w:rsid w:val="008831F9"/>
    <w:rsid w:val="00890210"/>
    <w:rsid w:val="00891F66"/>
    <w:rsid w:val="00892F6F"/>
    <w:rsid w:val="008930C7"/>
    <w:rsid w:val="0089459F"/>
    <w:rsid w:val="008946AB"/>
    <w:rsid w:val="0089621E"/>
    <w:rsid w:val="008A162D"/>
    <w:rsid w:val="008A5137"/>
    <w:rsid w:val="008A77AD"/>
    <w:rsid w:val="008B09FE"/>
    <w:rsid w:val="008B5B7F"/>
    <w:rsid w:val="008C2FFB"/>
    <w:rsid w:val="008C5AD6"/>
    <w:rsid w:val="008C65D9"/>
    <w:rsid w:val="008D166F"/>
    <w:rsid w:val="008D2744"/>
    <w:rsid w:val="008D29BD"/>
    <w:rsid w:val="008D43D8"/>
    <w:rsid w:val="008D57CC"/>
    <w:rsid w:val="008D5CD7"/>
    <w:rsid w:val="008D7370"/>
    <w:rsid w:val="008E133C"/>
    <w:rsid w:val="008E2F16"/>
    <w:rsid w:val="008E3C2D"/>
    <w:rsid w:val="008E4D64"/>
    <w:rsid w:val="008E6767"/>
    <w:rsid w:val="008F4C22"/>
    <w:rsid w:val="008F673F"/>
    <w:rsid w:val="008F72FA"/>
    <w:rsid w:val="009103EF"/>
    <w:rsid w:val="00910CD6"/>
    <w:rsid w:val="009111B2"/>
    <w:rsid w:val="009135A5"/>
    <w:rsid w:val="009141CB"/>
    <w:rsid w:val="00915DD0"/>
    <w:rsid w:val="0091608F"/>
    <w:rsid w:val="00920A9A"/>
    <w:rsid w:val="00920C8D"/>
    <w:rsid w:val="00921997"/>
    <w:rsid w:val="009239F6"/>
    <w:rsid w:val="00925944"/>
    <w:rsid w:val="0092774C"/>
    <w:rsid w:val="00930CFC"/>
    <w:rsid w:val="009340C0"/>
    <w:rsid w:val="009367B3"/>
    <w:rsid w:val="00941503"/>
    <w:rsid w:val="00943AA0"/>
    <w:rsid w:val="00943FC9"/>
    <w:rsid w:val="009446C7"/>
    <w:rsid w:val="009458E8"/>
    <w:rsid w:val="00945B6E"/>
    <w:rsid w:val="0095189E"/>
    <w:rsid w:val="009524EF"/>
    <w:rsid w:val="00955745"/>
    <w:rsid w:val="009568A7"/>
    <w:rsid w:val="00956B21"/>
    <w:rsid w:val="0095745D"/>
    <w:rsid w:val="00957860"/>
    <w:rsid w:val="00970215"/>
    <w:rsid w:val="0097142F"/>
    <w:rsid w:val="00972147"/>
    <w:rsid w:val="00972733"/>
    <w:rsid w:val="0097319B"/>
    <w:rsid w:val="00976DD1"/>
    <w:rsid w:val="00984928"/>
    <w:rsid w:val="0098552C"/>
    <w:rsid w:val="00987CF1"/>
    <w:rsid w:val="00987EDB"/>
    <w:rsid w:val="009914FD"/>
    <w:rsid w:val="009915D2"/>
    <w:rsid w:val="00992FB6"/>
    <w:rsid w:val="00996175"/>
    <w:rsid w:val="009A0351"/>
    <w:rsid w:val="009A041C"/>
    <w:rsid w:val="009A0FCE"/>
    <w:rsid w:val="009A48EB"/>
    <w:rsid w:val="009A744A"/>
    <w:rsid w:val="009B035A"/>
    <w:rsid w:val="009B1A8C"/>
    <w:rsid w:val="009B270D"/>
    <w:rsid w:val="009B73FA"/>
    <w:rsid w:val="009C0440"/>
    <w:rsid w:val="009C0483"/>
    <w:rsid w:val="009C199B"/>
    <w:rsid w:val="009C6A99"/>
    <w:rsid w:val="009D045A"/>
    <w:rsid w:val="009E6983"/>
    <w:rsid w:val="009F1618"/>
    <w:rsid w:val="009F3105"/>
    <w:rsid w:val="009F5883"/>
    <w:rsid w:val="009F5D67"/>
    <w:rsid w:val="009F698D"/>
    <w:rsid w:val="00A0252C"/>
    <w:rsid w:val="00A063E5"/>
    <w:rsid w:val="00A10E34"/>
    <w:rsid w:val="00A10F78"/>
    <w:rsid w:val="00A1185B"/>
    <w:rsid w:val="00A1379A"/>
    <w:rsid w:val="00A13FFC"/>
    <w:rsid w:val="00A14F7F"/>
    <w:rsid w:val="00A17123"/>
    <w:rsid w:val="00A21BD0"/>
    <w:rsid w:val="00A23BA0"/>
    <w:rsid w:val="00A23BFE"/>
    <w:rsid w:val="00A25C92"/>
    <w:rsid w:val="00A25F2B"/>
    <w:rsid w:val="00A26A2B"/>
    <w:rsid w:val="00A26B34"/>
    <w:rsid w:val="00A26D1E"/>
    <w:rsid w:val="00A275F9"/>
    <w:rsid w:val="00A27C61"/>
    <w:rsid w:val="00A31ACA"/>
    <w:rsid w:val="00A336FE"/>
    <w:rsid w:val="00A3426A"/>
    <w:rsid w:val="00A35289"/>
    <w:rsid w:val="00A361E7"/>
    <w:rsid w:val="00A36210"/>
    <w:rsid w:val="00A373F9"/>
    <w:rsid w:val="00A4085C"/>
    <w:rsid w:val="00A416A7"/>
    <w:rsid w:val="00A42E6D"/>
    <w:rsid w:val="00A45E72"/>
    <w:rsid w:val="00A47C67"/>
    <w:rsid w:val="00A506E3"/>
    <w:rsid w:val="00A52746"/>
    <w:rsid w:val="00A53556"/>
    <w:rsid w:val="00A53F6E"/>
    <w:rsid w:val="00A646EA"/>
    <w:rsid w:val="00A65A0B"/>
    <w:rsid w:val="00A67851"/>
    <w:rsid w:val="00A70501"/>
    <w:rsid w:val="00A712DA"/>
    <w:rsid w:val="00A73576"/>
    <w:rsid w:val="00A754BC"/>
    <w:rsid w:val="00A75692"/>
    <w:rsid w:val="00A774EE"/>
    <w:rsid w:val="00A80158"/>
    <w:rsid w:val="00A81271"/>
    <w:rsid w:val="00A852E7"/>
    <w:rsid w:val="00A858DF"/>
    <w:rsid w:val="00A86BF4"/>
    <w:rsid w:val="00A954F0"/>
    <w:rsid w:val="00A96AD5"/>
    <w:rsid w:val="00A9791B"/>
    <w:rsid w:val="00AA394B"/>
    <w:rsid w:val="00AA667A"/>
    <w:rsid w:val="00AA719F"/>
    <w:rsid w:val="00AB2202"/>
    <w:rsid w:val="00AC2B9D"/>
    <w:rsid w:val="00AC2F03"/>
    <w:rsid w:val="00AC6B56"/>
    <w:rsid w:val="00AC71C4"/>
    <w:rsid w:val="00AD04E4"/>
    <w:rsid w:val="00AD05CC"/>
    <w:rsid w:val="00AE091E"/>
    <w:rsid w:val="00AE1922"/>
    <w:rsid w:val="00AE2769"/>
    <w:rsid w:val="00AE2B37"/>
    <w:rsid w:val="00AE3791"/>
    <w:rsid w:val="00AE5BFA"/>
    <w:rsid w:val="00AE7F1E"/>
    <w:rsid w:val="00AF3228"/>
    <w:rsid w:val="00AF5D6D"/>
    <w:rsid w:val="00AF6AD9"/>
    <w:rsid w:val="00AF6F14"/>
    <w:rsid w:val="00B104BB"/>
    <w:rsid w:val="00B10E34"/>
    <w:rsid w:val="00B113ED"/>
    <w:rsid w:val="00B11711"/>
    <w:rsid w:val="00B11BA4"/>
    <w:rsid w:val="00B11CB4"/>
    <w:rsid w:val="00B12B3D"/>
    <w:rsid w:val="00B13D75"/>
    <w:rsid w:val="00B22812"/>
    <w:rsid w:val="00B24374"/>
    <w:rsid w:val="00B25294"/>
    <w:rsid w:val="00B27930"/>
    <w:rsid w:val="00B30C7B"/>
    <w:rsid w:val="00B33B55"/>
    <w:rsid w:val="00B438AD"/>
    <w:rsid w:val="00B43B71"/>
    <w:rsid w:val="00B45696"/>
    <w:rsid w:val="00B45974"/>
    <w:rsid w:val="00B50049"/>
    <w:rsid w:val="00B51900"/>
    <w:rsid w:val="00B51913"/>
    <w:rsid w:val="00B547CE"/>
    <w:rsid w:val="00B5617E"/>
    <w:rsid w:val="00B56578"/>
    <w:rsid w:val="00B57C38"/>
    <w:rsid w:val="00B6538A"/>
    <w:rsid w:val="00B65F79"/>
    <w:rsid w:val="00B701D1"/>
    <w:rsid w:val="00B7028A"/>
    <w:rsid w:val="00B74C1E"/>
    <w:rsid w:val="00B752F5"/>
    <w:rsid w:val="00B75BB3"/>
    <w:rsid w:val="00B94BC3"/>
    <w:rsid w:val="00B95B11"/>
    <w:rsid w:val="00B9628B"/>
    <w:rsid w:val="00BA075A"/>
    <w:rsid w:val="00BA18E0"/>
    <w:rsid w:val="00BA2071"/>
    <w:rsid w:val="00BA20C9"/>
    <w:rsid w:val="00BA2F00"/>
    <w:rsid w:val="00BA3E13"/>
    <w:rsid w:val="00BA4FA6"/>
    <w:rsid w:val="00BA5FD4"/>
    <w:rsid w:val="00BA6DA2"/>
    <w:rsid w:val="00BA7380"/>
    <w:rsid w:val="00BB1AAA"/>
    <w:rsid w:val="00BB5D20"/>
    <w:rsid w:val="00BB6E57"/>
    <w:rsid w:val="00BB79F5"/>
    <w:rsid w:val="00BC02ED"/>
    <w:rsid w:val="00BC0D0C"/>
    <w:rsid w:val="00BC0E42"/>
    <w:rsid w:val="00BC12C5"/>
    <w:rsid w:val="00BC3568"/>
    <w:rsid w:val="00BC5F93"/>
    <w:rsid w:val="00BE1D3E"/>
    <w:rsid w:val="00BE44B7"/>
    <w:rsid w:val="00BE6308"/>
    <w:rsid w:val="00BE6E8E"/>
    <w:rsid w:val="00BE7240"/>
    <w:rsid w:val="00BF1BAC"/>
    <w:rsid w:val="00BF2DC8"/>
    <w:rsid w:val="00BF7FEC"/>
    <w:rsid w:val="00C00F89"/>
    <w:rsid w:val="00C041DE"/>
    <w:rsid w:val="00C05E4C"/>
    <w:rsid w:val="00C1088D"/>
    <w:rsid w:val="00C16601"/>
    <w:rsid w:val="00C17642"/>
    <w:rsid w:val="00C24B6A"/>
    <w:rsid w:val="00C262D3"/>
    <w:rsid w:val="00C26EEE"/>
    <w:rsid w:val="00C27814"/>
    <w:rsid w:val="00C3221B"/>
    <w:rsid w:val="00C32583"/>
    <w:rsid w:val="00C3439C"/>
    <w:rsid w:val="00C349DA"/>
    <w:rsid w:val="00C35A76"/>
    <w:rsid w:val="00C37E82"/>
    <w:rsid w:val="00C40D1D"/>
    <w:rsid w:val="00C40ED2"/>
    <w:rsid w:val="00C4185F"/>
    <w:rsid w:val="00C4218E"/>
    <w:rsid w:val="00C4224B"/>
    <w:rsid w:val="00C45670"/>
    <w:rsid w:val="00C4641B"/>
    <w:rsid w:val="00C46697"/>
    <w:rsid w:val="00C511F9"/>
    <w:rsid w:val="00C525DD"/>
    <w:rsid w:val="00C539FD"/>
    <w:rsid w:val="00C56AB3"/>
    <w:rsid w:val="00C649DB"/>
    <w:rsid w:val="00C65A51"/>
    <w:rsid w:val="00C65E09"/>
    <w:rsid w:val="00C73526"/>
    <w:rsid w:val="00C74294"/>
    <w:rsid w:val="00C75A40"/>
    <w:rsid w:val="00C80169"/>
    <w:rsid w:val="00C84D12"/>
    <w:rsid w:val="00C876BB"/>
    <w:rsid w:val="00C917D7"/>
    <w:rsid w:val="00C920CC"/>
    <w:rsid w:val="00C9211C"/>
    <w:rsid w:val="00C9324D"/>
    <w:rsid w:val="00C93D20"/>
    <w:rsid w:val="00C93D50"/>
    <w:rsid w:val="00C94AB5"/>
    <w:rsid w:val="00C95D19"/>
    <w:rsid w:val="00C96264"/>
    <w:rsid w:val="00C9647E"/>
    <w:rsid w:val="00CA0C7C"/>
    <w:rsid w:val="00CA15D2"/>
    <w:rsid w:val="00CA2445"/>
    <w:rsid w:val="00CA69DF"/>
    <w:rsid w:val="00CB05F4"/>
    <w:rsid w:val="00CB7C93"/>
    <w:rsid w:val="00CC1758"/>
    <w:rsid w:val="00CC5667"/>
    <w:rsid w:val="00CC6621"/>
    <w:rsid w:val="00CC6816"/>
    <w:rsid w:val="00CC770D"/>
    <w:rsid w:val="00CD1839"/>
    <w:rsid w:val="00CD1B6C"/>
    <w:rsid w:val="00CD6A9F"/>
    <w:rsid w:val="00CE1CB9"/>
    <w:rsid w:val="00CE1E07"/>
    <w:rsid w:val="00CE5D41"/>
    <w:rsid w:val="00CE644F"/>
    <w:rsid w:val="00CF25D8"/>
    <w:rsid w:val="00CF5DE7"/>
    <w:rsid w:val="00CF612E"/>
    <w:rsid w:val="00D011BB"/>
    <w:rsid w:val="00D0127E"/>
    <w:rsid w:val="00D026DC"/>
    <w:rsid w:val="00D02D75"/>
    <w:rsid w:val="00D05767"/>
    <w:rsid w:val="00D059AF"/>
    <w:rsid w:val="00D05E28"/>
    <w:rsid w:val="00D06EF0"/>
    <w:rsid w:val="00D10D94"/>
    <w:rsid w:val="00D1414E"/>
    <w:rsid w:val="00D27FF2"/>
    <w:rsid w:val="00D3098C"/>
    <w:rsid w:val="00D3132F"/>
    <w:rsid w:val="00D3170F"/>
    <w:rsid w:val="00D347F9"/>
    <w:rsid w:val="00D35278"/>
    <w:rsid w:val="00D35392"/>
    <w:rsid w:val="00D35AEE"/>
    <w:rsid w:val="00D40B69"/>
    <w:rsid w:val="00D40E89"/>
    <w:rsid w:val="00D410C9"/>
    <w:rsid w:val="00D41391"/>
    <w:rsid w:val="00D43467"/>
    <w:rsid w:val="00D43D07"/>
    <w:rsid w:val="00D46B5B"/>
    <w:rsid w:val="00D510AA"/>
    <w:rsid w:val="00D520AE"/>
    <w:rsid w:val="00D54E64"/>
    <w:rsid w:val="00D55FA2"/>
    <w:rsid w:val="00D5654E"/>
    <w:rsid w:val="00D57B81"/>
    <w:rsid w:val="00D60BC4"/>
    <w:rsid w:val="00D62873"/>
    <w:rsid w:val="00D636E7"/>
    <w:rsid w:val="00D671B9"/>
    <w:rsid w:val="00D710FF"/>
    <w:rsid w:val="00D73F03"/>
    <w:rsid w:val="00D75022"/>
    <w:rsid w:val="00D75135"/>
    <w:rsid w:val="00D762C9"/>
    <w:rsid w:val="00D76996"/>
    <w:rsid w:val="00D80AAB"/>
    <w:rsid w:val="00D81D9D"/>
    <w:rsid w:val="00D855C2"/>
    <w:rsid w:val="00D85CCE"/>
    <w:rsid w:val="00D86C25"/>
    <w:rsid w:val="00D93869"/>
    <w:rsid w:val="00D9570C"/>
    <w:rsid w:val="00D9613D"/>
    <w:rsid w:val="00D96402"/>
    <w:rsid w:val="00D970D5"/>
    <w:rsid w:val="00D975DF"/>
    <w:rsid w:val="00D97DFE"/>
    <w:rsid w:val="00DA1860"/>
    <w:rsid w:val="00DA5681"/>
    <w:rsid w:val="00DA7CAB"/>
    <w:rsid w:val="00DB05AE"/>
    <w:rsid w:val="00DB12EF"/>
    <w:rsid w:val="00DB13B4"/>
    <w:rsid w:val="00DC1D4B"/>
    <w:rsid w:val="00DC3BBA"/>
    <w:rsid w:val="00DD098B"/>
    <w:rsid w:val="00DD127A"/>
    <w:rsid w:val="00DD1C97"/>
    <w:rsid w:val="00DD3D95"/>
    <w:rsid w:val="00DD607D"/>
    <w:rsid w:val="00DD7389"/>
    <w:rsid w:val="00DE0051"/>
    <w:rsid w:val="00DE0244"/>
    <w:rsid w:val="00DE2331"/>
    <w:rsid w:val="00DE37E7"/>
    <w:rsid w:val="00DE3A54"/>
    <w:rsid w:val="00DE4B30"/>
    <w:rsid w:val="00DE5598"/>
    <w:rsid w:val="00DE652C"/>
    <w:rsid w:val="00DE6E25"/>
    <w:rsid w:val="00DE6ECE"/>
    <w:rsid w:val="00DF08C6"/>
    <w:rsid w:val="00DF299A"/>
    <w:rsid w:val="00DF3551"/>
    <w:rsid w:val="00DF38F3"/>
    <w:rsid w:val="00DF39B0"/>
    <w:rsid w:val="00DF53B1"/>
    <w:rsid w:val="00E01FA0"/>
    <w:rsid w:val="00E026BA"/>
    <w:rsid w:val="00E04130"/>
    <w:rsid w:val="00E12C8F"/>
    <w:rsid w:val="00E1739A"/>
    <w:rsid w:val="00E20A44"/>
    <w:rsid w:val="00E219E4"/>
    <w:rsid w:val="00E26EA6"/>
    <w:rsid w:val="00E30B97"/>
    <w:rsid w:val="00E3274A"/>
    <w:rsid w:val="00E332FB"/>
    <w:rsid w:val="00E33BAC"/>
    <w:rsid w:val="00E33D51"/>
    <w:rsid w:val="00E342C8"/>
    <w:rsid w:val="00E35928"/>
    <w:rsid w:val="00E36D06"/>
    <w:rsid w:val="00E434CB"/>
    <w:rsid w:val="00E43839"/>
    <w:rsid w:val="00E45149"/>
    <w:rsid w:val="00E46CC1"/>
    <w:rsid w:val="00E4790D"/>
    <w:rsid w:val="00E529BA"/>
    <w:rsid w:val="00E6003D"/>
    <w:rsid w:val="00E6358D"/>
    <w:rsid w:val="00E65F36"/>
    <w:rsid w:val="00E66C28"/>
    <w:rsid w:val="00E70D62"/>
    <w:rsid w:val="00E71A15"/>
    <w:rsid w:val="00E7273D"/>
    <w:rsid w:val="00E72928"/>
    <w:rsid w:val="00E72D6D"/>
    <w:rsid w:val="00E73F18"/>
    <w:rsid w:val="00E804CF"/>
    <w:rsid w:val="00E81678"/>
    <w:rsid w:val="00E83E8A"/>
    <w:rsid w:val="00E86516"/>
    <w:rsid w:val="00E86E92"/>
    <w:rsid w:val="00E91CFB"/>
    <w:rsid w:val="00E9237A"/>
    <w:rsid w:val="00E9271F"/>
    <w:rsid w:val="00E958A4"/>
    <w:rsid w:val="00E96AAE"/>
    <w:rsid w:val="00E96E42"/>
    <w:rsid w:val="00E974E2"/>
    <w:rsid w:val="00EA5B37"/>
    <w:rsid w:val="00EA66AD"/>
    <w:rsid w:val="00EB1AF4"/>
    <w:rsid w:val="00EB2938"/>
    <w:rsid w:val="00EB2B4A"/>
    <w:rsid w:val="00EB6744"/>
    <w:rsid w:val="00EC0C5A"/>
    <w:rsid w:val="00EC0F0A"/>
    <w:rsid w:val="00EC29AF"/>
    <w:rsid w:val="00EC584D"/>
    <w:rsid w:val="00ED2F5C"/>
    <w:rsid w:val="00ED5272"/>
    <w:rsid w:val="00ED58B2"/>
    <w:rsid w:val="00ED7E3B"/>
    <w:rsid w:val="00EE1115"/>
    <w:rsid w:val="00EE1A84"/>
    <w:rsid w:val="00EE45C0"/>
    <w:rsid w:val="00EE6D0C"/>
    <w:rsid w:val="00EE74EB"/>
    <w:rsid w:val="00EF0757"/>
    <w:rsid w:val="00EF3C3E"/>
    <w:rsid w:val="00EF6DC0"/>
    <w:rsid w:val="00F1252F"/>
    <w:rsid w:val="00F149D3"/>
    <w:rsid w:val="00F15877"/>
    <w:rsid w:val="00F15BF4"/>
    <w:rsid w:val="00F17FD8"/>
    <w:rsid w:val="00F2053B"/>
    <w:rsid w:val="00F23C94"/>
    <w:rsid w:val="00F24837"/>
    <w:rsid w:val="00F25D77"/>
    <w:rsid w:val="00F26F14"/>
    <w:rsid w:val="00F315E2"/>
    <w:rsid w:val="00F33F00"/>
    <w:rsid w:val="00F4034F"/>
    <w:rsid w:val="00F413CE"/>
    <w:rsid w:val="00F420FF"/>
    <w:rsid w:val="00F438CD"/>
    <w:rsid w:val="00F43AB8"/>
    <w:rsid w:val="00F44C21"/>
    <w:rsid w:val="00F45611"/>
    <w:rsid w:val="00F5318E"/>
    <w:rsid w:val="00F533E5"/>
    <w:rsid w:val="00F53D0E"/>
    <w:rsid w:val="00F53DD4"/>
    <w:rsid w:val="00F54322"/>
    <w:rsid w:val="00F550DD"/>
    <w:rsid w:val="00F55429"/>
    <w:rsid w:val="00F5762A"/>
    <w:rsid w:val="00F625DC"/>
    <w:rsid w:val="00F6432E"/>
    <w:rsid w:val="00F65828"/>
    <w:rsid w:val="00F6707E"/>
    <w:rsid w:val="00F70357"/>
    <w:rsid w:val="00F70CF4"/>
    <w:rsid w:val="00F7286D"/>
    <w:rsid w:val="00F72DB1"/>
    <w:rsid w:val="00F72EC8"/>
    <w:rsid w:val="00F73D2E"/>
    <w:rsid w:val="00F73D6D"/>
    <w:rsid w:val="00F74A70"/>
    <w:rsid w:val="00F926B8"/>
    <w:rsid w:val="00F926BB"/>
    <w:rsid w:val="00F935D0"/>
    <w:rsid w:val="00F9484A"/>
    <w:rsid w:val="00F95A40"/>
    <w:rsid w:val="00F95E5F"/>
    <w:rsid w:val="00F96A95"/>
    <w:rsid w:val="00F96F17"/>
    <w:rsid w:val="00FA3D38"/>
    <w:rsid w:val="00FA78B4"/>
    <w:rsid w:val="00FA7973"/>
    <w:rsid w:val="00FA7C58"/>
    <w:rsid w:val="00FB174D"/>
    <w:rsid w:val="00FB23FD"/>
    <w:rsid w:val="00FB2E25"/>
    <w:rsid w:val="00FB453B"/>
    <w:rsid w:val="00FC2B4E"/>
    <w:rsid w:val="00FC4C3E"/>
    <w:rsid w:val="00FC5567"/>
    <w:rsid w:val="00FC62A4"/>
    <w:rsid w:val="00FC7C0B"/>
    <w:rsid w:val="00FD16B0"/>
    <w:rsid w:val="00FD4E79"/>
    <w:rsid w:val="00FD52A2"/>
    <w:rsid w:val="00FD7099"/>
    <w:rsid w:val="00FE0078"/>
    <w:rsid w:val="00FE23D5"/>
    <w:rsid w:val="00FE4383"/>
    <w:rsid w:val="00FF02E3"/>
    <w:rsid w:val="00FF5EAC"/>
    <w:rsid w:val="00FF7C15"/>
    <w:rsid w:val="4093036A"/>
    <w:rsid w:val="4F9E8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F7AA"/>
  <w15:chartTrackingRefBased/>
  <w15:docId w15:val="{CD9DCA97-8B19-674F-B6A0-B22B259F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0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2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5C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E58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C24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11D"/>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AC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17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1170"/>
    <w:rPr>
      <w:rFonts w:ascii="Times New Roman" w:hAnsi="Times New Roman"/>
      <w:sz w:val="18"/>
      <w:szCs w:val="18"/>
    </w:rPr>
  </w:style>
  <w:style w:type="character" w:customStyle="1" w:styleId="Heading1Char">
    <w:name w:val="Heading 1 Char"/>
    <w:basedOn w:val="DefaultParagraphFont"/>
    <w:link w:val="Heading1"/>
    <w:uiPriority w:val="9"/>
    <w:rsid w:val="00190075"/>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F5D6D"/>
    <w:pPr>
      <w:tabs>
        <w:tab w:val="center" w:pos="4680"/>
        <w:tab w:val="right" w:pos="9360"/>
      </w:tabs>
    </w:pPr>
  </w:style>
  <w:style w:type="character" w:customStyle="1" w:styleId="FooterChar">
    <w:name w:val="Footer Char"/>
    <w:basedOn w:val="DefaultParagraphFont"/>
    <w:link w:val="Footer"/>
    <w:uiPriority w:val="99"/>
    <w:rsid w:val="00AF5D6D"/>
  </w:style>
  <w:style w:type="character" w:styleId="PageNumber">
    <w:name w:val="page number"/>
    <w:basedOn w:val="DefaultParagraphFont"/>
    <w:uiPriority w:val="99"/>
    <w:semiHidden/>
    <w:unhideWhenUsed/>
    <w:rsid w:val="00AF5D6D"/>
  </w:style>
  <w:style w:type="character" w:styleId="CommentReference">
    <w:name w:val="annotation reference"/>
    <w:basedOn w:val="DefaultParagraphFont"/>
    <w:uiPriority w:val="99"/>
    <w:semiHidden/>
    <w:unhideWhenUsed/>
    <w:rsid w:val="000D45B5"/>
    <w:rPr>
      <w:sz w:val="16"/>
      <w:szCs w:val="16"/>
    </w:rPr>
  </w:style>
  <w:style w:type="paragraph" w:styleId="CommentText">
    <w:name w:val="annotation text"/>
    <w:basedOn w:val="Normal"/>
    <w:link w:val="CommentTextChar"/>
    <w:uiPriority w:val="99"/>
    <w:unhideWhenUsed/>
    <w:rsid w:val="000D45B5"/>
    <w:rPr>
      <w:sz w:val="20"/>
      <w:szCs w:val="20"/>
    </w:rPr>
  </w:style>
  <w:style w:type="character" w:customStyle="1" w:styleId="CommentTextChar">
    <w:name w:val="Comment Text Char"/>
    <w:basedOn w:val="DefaultParagraphFont"/>
    <w:link w:val="CommentText"/>
    <w:uiPriority w:val="99"/>
    <w:rsid w:val="000D45B5"/>
    <w:rPr>
      <w:sz w:val="20"/>
      <w:szCs w:val="20"/>
    </w:rPr>
  </w:style>
  <w:style w:type="paragraph" w:styleId="CommentSubject">
    <w:name w:val="annotation subject"/>
    <w:basedOn w:val="CommentText"/>
    <w:next w:val="CommentText"/>
    <w:link w:val="CommentSubjectChar"/>
    <w:uiPriority w:val="99"/>
    <w:semiHidden/>
    <w:unhideWhenUsed/>
    <w:rsid w:val="000D45B5"/>
    <w:rPr>
      <w:b/>
      <w:bCs/>
    </w:rPr>
  </w:style>
  <w:style w:type="character" w:customStyle="1" w:styleId="CommentSubjectChar">
    <w:name w:val="Comment Subject Char"/>
    <w:basedOn w:val="CommentTextChar"/>
    <w:link w:val="CommentSubject"/>
    <w:uiPriority w:val="99"/>
    <w:semiHidden/>
    <w:rsid w:val="000D45B5"/>
    <w:rPr>
      <w:b/>
      <w:bCs/>
      <w:sz w:val="20"/>
      <w:szCs w:val="20"/>
    </w:rPr>
  </w:style>
  <w:style w:type="paragraph" w:styleId="Revision">
    <w:name w:val="Revision"/>
    <w:hidden/>
    <w:uiPriority w:val="99"/>
    <w:semiHidden/>
    <w:rsid w:val="0091608F"/>
  </w:style>
  <w:style w:type="paragraph" w:styleId="Header">
    <w:name w:val="header"/>
    <w:basedOn w:val="Normal"/>
    <w:link w:val="HeaderChar"/>
    <w:uiPriority w:val="99"/>
    <w:unhideWhenUsed/>
    <w:rsid w:val="00211087"/>
    <w:pPr>
      <w:tabs>
        <w:tab w:val="center" w:pos="4680"/>
        <w:tab w:val="right" w:pos="9360"/>
      </w:tabs>
    </w:pPr>
  </w:style>
  <w:style w:type="character" w:customStyle="1" w:styleId="HeaderChar">
    <w:name w:val="Header Char"/>
    <w:basedOn w:val="DefaultParagraphFont"/>
    <w:link w:val="Header"/>
    <w:uiPriority w:val="99"/>
    <w:rsid w:val="00211087"/>
  </w:style>
  <w:style w:type="paragraph" w:styleId="ListParagraph">
    <w:name w:val="List Paragraph"/>
    <w:aliases w:val="RFP question,Arizona,New_Bullet"/>
    <w:basedOn w:val="Normal"/>
    <w:link w:val="ListParagraphChar"/>
    <w:uiPriority w:val="34"/>
    <w:qFormat/>
    <w:rsid w:val="002F6BDA"/>
    <w:pPr>
      <w:ind w:left="720"/>
      <w:contextualSpacing/>
    </w:pPr>
  </w:style>
  <w:style w:type="paragraph" w:styleId="BodyText">
    <w:name w:val="Body Text"/>
    <w:basedOn w:val="Normal"/>
    <w:link w:val="BodyTextChar"/>
    <w:uiPriority w:val="1"/>
    <w:qFormat/>
    <w:rsid w:val="00A646EA"/>
    <w:pPr>
      <w:widowControl w:val="0"/>
      <w:autoSpaceDE w:val="0"/>
      <w:autoSpaceDN w:val="0"/>
    </w:pPr>
    <w:rPr>
      <w:rFonts w:ascii="Calibri Light" w:eastAsia="Calibri Light" w:hAnsi="Calibri Light" w:cs="Calibri Light"/>
      <w:sz w:val="22"/>
      <w:szCs w:val="22"/>
    </w:rPr>
  </w:style>
  <w:style w:type="character" w:customStyle="1" w:styleId="BodyTextChar">
    <w:name w:val="Body Text Char"/>
    <w:basedOn w:val="DefaultParagraphFont"/>
    <w:link w:val="BodyText"/>
    <w:uiPriority w:val="1"/>
    <w:rsid w:val="00A646EA"/>
    <w:rPr>
      <w:rFonts w:ascii="Calibri Light" w:eastAsia="Calibri Light" w:hAnsi="Calibri Light" w:cs="Calibri Light"/>
      <w:sz w:val="22"/>
      <w:szCs w:val="22"/>
    </w:rPr>
  </w:style>
  <w:style w:type="table" w:styleId="LightList-Accent3">
    <w:name w:val="Light List Accent 3"/>
    <w:basedOn w:val="TableNormal"/>
    <w:uiPriority w:val="61"/>
    <w:rsid w:val="009A041C"/>
    <w:rPr>
      <w:rFonts w:eastAsiaTheme="minorEastAsia"/>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xmsolistparagraph">
    <w:name w:val="x_msolistparagraph"/>
    <w:basedOn w:val="Normal"/>
    <w:rsid w:val="007630E4"/>
    <w:rPr>
      <w:rFonts w:ascii="Times New Roman" w:hAnsi="Times New Roman" w:cs="Times New Roman"/>
      <w:lang w:val="es-PR" w:eastAsia="es-PR"/>
    </w:rPr>
  </w:style>
  <w:style w:type="character" w:styleId="Hyperlink">
    <w:name w:val="Hyperlink"/>
    <w:basedOn w:val="DefaultParagraphFont"/>
    <w:uiPriority w:val="99"/>
    <w:unhideWhenUsed/>
    <w:rsid w:val="006E6E4B"/>
    <w:rPr>
      <w:color w:val="0000FF"/>
      <w:u w:val="single"/>
    </w:rPr>
  </w:style>
  <w:style w:type="character" w:customStyle="1" w:styleId="ListParagraphChar">
    <w:name w:val="List Paragraph Char"/>
    <w:aliases w:val="RFP question Char,Arizona Char,New_Bullet Char"/>
    <w:basedOn w:val="DefaultParagraphFont"/>
    <w:link w:val="ListParagraph"/>
    <w:uiPriority w:val="34"/>
    <w:locked/>
    <w:rsid w:val="006A4FED"/>
  </w:style>
  <w:style w:type="paragraph" w:styleId="FootnoteText">
    <w:name w:val="footnote text"/>
    <w:basedOn w:val="Normal"/>
    <w:link w:val="FootnoteTextChar"/>
    <w:uiPriority w:val="99"/>
    <w:semiHidden/>
    <w:unhideWhenUsed/>
    <w:rsid w:val="00A96AD5"/>
    <w:rPr>
      <w:sz w:val="20"/>
      <w:szCs w:val="20"/>
    </w:rPr>
  </w:style>
  <w:style w:type="character" w:customStyle="1" w:styleId="FootnoteTextChar">
    <w:name w:val="Footnote Text Char"/>
    <w:basedOn w:val="DefaultParagraphFont"/>
    <w:link w:val="FootnoteText"/>
    <w:uiPriority w:val="99"/>
    <w:semiHidden/>
    <w:rsid w:val="00A96AD5"/>
    <w:rPr>
      <w:sz w:val="20"/>
      <w:szCs w:val="20"/>
    </w:rPr>
  </w:style>
  <w:style w:type="character" w:styleId="FootnoteReference">
    <w:name w:val="footnote reference"/>
    <w:basedOn w:val="DefaultParagraphFont"/>
    <w:uiPriority w:val="99"/>
    <w:semiHidden/>
    <w:unhideWhenUsed/>
    <w:rsid w:val="00A96AD5"/>
    <w:rPr>
      <w:vertAlign w:val="superscript"/>
    </w:rPr>
  </w:style>
  <w:style w:type="paragraph" w:styleId="IntenseQuote">
    <w:name w:val="Intense Quote"/>
    <w:basedOn w:val="Normal"/>
    <w:next w:val="Normal"/>
    <w:link w:val="IntenseQuoteChar"/>
    <w:uiPriority w:val="30"/>
    <w:qFormat/>
    <w:rsid w:val="00D1414E"/>
    <w:pPr>
      <w:pBdr>
        <w:bottom w:val="single" w:sz="4" w:space="4" w:color="4472C4" w:themeColor="accent1"/>
      </w:pBdr>
      <w:spacing w:before="200" w:after="280" w:line="276" w:lineRule="auto"/>
      <w:ind w:left="936" w:right="936"/>
    </w:pPr>
    <w:rPr>
      <w:rFonts w:eastAsiaTheme="minorEastAsia"/>
      <w:b/>
      <w:bCs/>
      <w:i/>
      <w:iCs/>
      <w:color w:val="4472C4" w:themeColor="accent1"/>
      <w:sz w:val="22"/>
      <w:szCs w:val="22"/>
    </w:rPr>
  </w:style>
  <w:style w:type="character" w:customStyle="1" w:styleId="IntenseQuoteChar">
    <w:name w:val="Intense Quote Char"/>
    <w:basedOn w:val="DefaultParagraphFont"/>
    <w:link w:val="IntenseQuote"/>
    <w:uiPriority w:val="30"/>
    <w:rsid w:val="00D1414E"/>
    <w:rPr>
      <w:rFonts w:eastAsiaTheme="minorEastAsia"/>
      <w:b/>
      <w:bCs/>
      <w:i/>
      <w:iCs/>
      <w:color w:val="4472C4" w:themeColor="accent1"/>
      <w:sz w:val="22"/>
      <w:szCs w:val="22"/>
    </w:rPr>
  </w:style>
  <w:style w:type="character" w:customStyle="1" w:styleId="Heading2Char">
    <w:name w:val="Heading 2 Char"/>
    <w:basedOn w:val="DefaultParagraphFont"/>
    <w:link w:val="Heading2"/>
    <w:uiPriority w:val="9"/>
    <w:rsid w:val="00A852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5C4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E58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C24C3"/>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F6423"/>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E6983"/>
    <w:pPr>
      <w:spacing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E6983"/>
    <w:rPr>
      <w:rFonts w:asciiTheme="majorHAnsi" w:eastAsiaTheme="majorEastAsia" w:hAnsiTheme="majorHAnsi" w:cstheme="majorBidi"/>
      <w:caps/>
      <w:color w:val="4472C4" w:themeColor="accent1"/>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4063">
      <w:bodyDiv w:val="1"/>
      <w:marLeft w:val="0"/>
      <w:marRight w:val="0"/>
      <w:marTop w:val="0"/>
      <w:marBottom w:val="0"/>
      <w:divBdr>
        <w:top w:val="none" w:sz="0" w:space="0" w:color="auto"/>
        <w:left w:val="none" w:sz="0" w:space="0" w:color="auto"/>
        <w:bottom w:val="none" w:sz="0" w:space="0" w:color="auto"/>
        <w:right w:val="none" w:sz="0" w:space="0" w:color="auto"/>
      </w:divBdr>
    </w:div>
    <w:div w:id="299190670">
      <w:bodyDiv w:val="1"/>
      <w:marLeft w:val="0"/>
      <w:marRight w:val="0"/>
      <w:marTop w:val="0"/>
      <w:marBottom w:val="0"/>
      <w:divBdr>
        <w:top w:val="none" w:sz="0" w:space="0" w:color="auto"/>
        <w:left w:val="none" w:sz="0" w:space="0" w:color="auto"/>
        <w:bottom w:val="none" w:sz="0" w:space="0" w:color="auto"/>
        <w:right w:val="none" w:sz="0" w:space="0" w:color="auto"/>
      </w:divBdr>
    </w:div>
    <w:div w:id="336424567">
      <w:bodyDiv w:val="1"/>
      <w:marLeft w:val="0"/>
      <w:marRight w:val="0"/>
      <w:marTop w:val="0"/>
      <w:marBottom w:val="0"/>
      <w:divBdr>
        <w:top w:val="none" w:sz="0" w:space="0" w:color="auto"/>
        <w:left w:val="none" w:sz="0" w:space="0" w:color="auto"/>
        <w:bottom w:val="none" w:sz="0" w:space="0" w:color="auto"/>
        <w:right w:val="none" w:sz="0" w:space="0" w:color="auto"/>
      </w:divBdr>
    </w:div>
    <w:div w:id="605819118">
      <w:bodyDiv w:val="1"/>
      <w:marLeft w:val="0"/>
      <w:marRight w:val="0"/>
      <w:marTop w:val="0"/>
      <w:marBottom w:val="0"/>
      <w:divBdr>
        <w:top w:val="none" w:sz="0" w:space="0" w:color="auto"/>
        <w:left w:val="none" w:sz="0" w:space="0" w:color="auto"/>
        <w:bottom w:val="none" w:sz="0" w:space="0" w:color="auto"/>
        <w:right w:val="none" w:sz="0" w:space="0" w:color="auto"/>
      </w:divBdr>
      <w:divsChild>
        <w:div w:id="103666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64167">
              <w:marLeft w:val="0"/>
              <w:marRight w:val="0"/>
              <w:marTop w:val="0"/>
              <w:marBottom w:val="0"/>
              <w:divBdr>
                <w:top w:val="none" w:sz="0" w:space="0" w:color="auto"/>
                <w:left w:val="none" w:sz="0" w:space="0" w:color="auto"/>
                <w:bottom w:val="none" w:sz="0" w:space="0" w:color="auto"/>
                <w:right w:val="none" w:sz="0" w:space="0" w:color="auto"/>
              </w:divBdr>
              <w:divsChild>
                <w:div w:id="961032870">
                  <w:marLeft w:val="0"/>
                  <w:marRight w:val="0"/>
                  <w:marTop w:val="0"/>
                  <w:marBottom w:val="0"/>
                  <w:divBdr>
                    <w:top w:val="none" w:sz="0" w:space="0" w:color="auto"/>
                    <w:left w:val="none" w:sz="0" w:space="0" w:color="auto"/>
                    <w:bottom w:val="none" w:sz="0" w:space="0" w:color="auto"/>
                    <w:right w:val="none" w:sz="0" w:space="0" w:color="auto"/>
                  </w:divBdr>
                  <w:divsChild>
                    <w:div w:id="1185947738">
                      <w:marLeft w:val="0"/>
                      <w:marRight w:val="0"/>
                      <w:marTop w:val="0"/>
                      <w:marBottom w:val="0"/>
                      <w:divBdr>
                        <w:top w:val="none" w:sz="0" w:space="0" w:color="auto"/>
                        <w:left w:val="none" w:sz="0" w:space="0" w:color="auto"/>
                        <w:bottom w:val="none" w:sz="0" w:space="0" w:color="auto"/>
                        <w:right w:val="none" w:sz="0" w:space="0" w:color="auto"/>
                      </w:divBdr>
                      <w:divsChild>
                        <w:div w:id="1156645920">
                          <w:marLeft w:val="0"/>
                          <w:marRight w:val="0"/>
                          <w:marTop w:val="0"/>
                          <w:marBottom w:val="0"/>
                          <w:divBdr>
                            <w:top w:val="none" w:sz="0" w:space="0" w:color="auto"/>
                            <w:left w:val="none" w:sz="0" w:space="0" w:color="auto"/>
                            <w:bottom w:val="none" w:sz="0" w:space="0" w:color="auto"/>
                            <w:right w:val="none" w:sz="0" w:space="0" w:color="auto"/>
                          </w:divBdr>
                          <w:divsChild>
                            <w:div w:id="21244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52182">
      <w:bodyDiv w:val="1"/>
      <w:marLeft w:val="0"/>
      <w:marRight w:val="0"/>
      <w:marTop w:val="0"/>
      <w:marBottom w:val="0"/>
      <w:divBdr>
        <w:top w:val="none" w:sz="0" w:space="0" w:color="auto"/>
        <w:left w:val="none" w:sz="0" w:space="0" w:color="auto"/>
        <w:bottom w:val="none" w:sz="0" w:space="0" w:color="auto"/>
        <w:right w:val="none" w:sz="0" w:space="0" w:color="auto"/>
      </w:divBdr>
    </w:div>
    <w:div w:id="653337197">
      <w:bodyDiv w:val="1"/>
      <w:marLeft w:val="0"/>
      <w:marRight w:val="0"/>
      <w:marTop w:val="0"/>
      <w:marBottom w:val="0"/>
      <w:divBdr>
        <w:top w:val="none" w:sz="0" w:space="0" w:color="auto"/>
        <w:left w:val="none" w:sz="0" w:space="0" w:color="auto"/>
        <w:bottom w:val="none" w:sz="0" w:space="0" w:color="auto"/>
        <w:right w:val="none" w:sz="0" w:space="0" w:color="auto"/>
      </w:divBdr>
    </w:div>
    <w:div w:id="866405796">
      <w:bodyDiv w:val="1"/>
      <w:marLeft w:val="0"/>
      <w:marRight w:val="0"/>
      <w:marTop w:val="0"/>
      <w:marBottom w:val="0"/>
      <w:divBdr>
        <w:top w:val="none" w:sz="0" w:space="0" w:color="auto"/>
        <w:left w:val="none" w:sz="0" w:space="0" w:color="auto"/>
        <w:bottom w:val="none" w:sz="0" w:space="0" w:color="auto"/>
        <w:right w:val="none" w:sz="0" w:space="0" w:color="auto"/>
      </w:divBdr>
    </w:div>
    <w:div w:id="874273804">
      <w:bodyDiv w:val="1"/>
      <w:marLeft w:val="0"/>
      <w:marRight w:val="0"/>
      <w:marTop w:val="0"/>
      <w:marBottom w:val="0"/>
      <w:divBdr>
        <w:top w:val="none" w:sz="0" w:space="0" w:color="auto"/>
        <w:left w:val="none" w:sz="0" w:space="0" w:color="auto"/>
        <w:bottom w:val="none" w:sz="0" w:space="0" w:color="auto"/>
        <w:right w:val="none" w:sz="0" w:space="0" w:color="auto"/>
      </w:divBdr>
    </w:div>
    <w:div w:id="1533692993">
      <w:bodyDiv w:val="1"/>
      <w:marLeft w:val="0"/>
      <w:marRight w:val="0"/>
      <w:marTop w:val="0"/>
      <w:marBottom w:val="0"/>
      <w:divBdr>
        <w:top w:val="none" w:sz="0" w:space="0" w:color="auto"/>
        <w:left w:val="none" w:sz="0" w:space="0" w:color="auto"/>
        <w:bottom w:val="none" w:sz="0" w:space="0" w:color="auto"/>
        <w:right w:val="none" w:sz="0" w:space="0" w:color="auto"/>
      </w:divBdr>
      <w:divsChild>
        <w:div w:id="1230383763">
          <w:marLeft w:val="0"/>
          <w:marRight w:val="0"/>
          <w:marTop w:val="0"/>
          <w:marBottom w:val="0"/>
          <w:divBdr>
            <w:top w:val="none" w:sz="0" w:space="0" w:color="auto"/>
            <w:left w:val="none" w:sz="0" w:space="0" w:color="auto"/>
            <w:bottom w:val="none" w:sz="0" w:space="0" w:color="auto"/>
            <w:right w:val="none" w:sz="0" w:space="0" w:color="auto"/>
          </w:divBdr>
          <w:divsChild>
            <w:div w:id="864947413">
              <w:marLeft w:val="0"/>
              <w:marRight w:val="0"/>
              <w:marTop w:val="0"/>
              <w:marBottom w:val="0"/>
              <w:divBdr>
                <w:top w:val="none" w:sz="0" w:space="0" w:color="auto"/>
                <w:left w:val="none" w:sz="0" w:space="0" w:color="auto"/>
                <w:bottom w:val="none" w:sz="0" w:space="0" w:color="auto"/>
                <w:right w:val="none" w:sz="0" w:space="0" w:color="auto"/>
              </w:divBdr>
              <w:divsChild>
                <w:div w:id="810055956">
                  <w:marLeft w:val="0"/>
                  <w:marRight w:val="0"/>
                  <w:marTop w:val="0"/>
                  <w:marBottom w:val="0"/>
                  <w:divBdr>
                    <w:top w:val="none" w:sz="0" w:space="0" w:color="auto"/>
                    <w:left w:val="none" w:sz="0" w:space="0" w:color="auto"/>
                    <w:bottom w:val="none" w:sz="0" w:space="0" w:color="auto"/>
                    <w:right w:val="none" w:sz="0" w:space="0" w:color="auto"/>
                  </w:divBdr>
                  <w:divsChild>
                    <w:div w:id="1045719973">
                      <w:marLeft w:val="0"/>
                      <w:marRight w:val="0"/>
                      <w:marTop w:val="0"/>
                      <w:marBottom w:val="0"/>
                      <w:divBdr>
                        <w:top w:val="none" w:sz="0" w:space="0" w:color="auto"/>
                        <w:left w:val="none" w:sz="0" w:space="0" w:color="auto"/>
                        <w:bottom w:val="none" w:sz="0" w:space="0" w:color="auto"/>
                        <w:right w:val="none" w:sz="0" w:space="0" w:color="auto"/>
                      </w:divBdr>
                      <w:divsChild>
                        <w:div w:id="2145075546">
                          <w:marLeft w:val="0"/>
                          <w:marRight w:val="0"/>
                          <w:marTop w:val="0"/>
                          <w:marBottom w:val="0"/>
                          <w:divBdr>
                            <w:top w:val="none" w:sz="0" w:space="0" w:color="auto"/>
                            <w:left w:val="none" w:sz="0" w:space="0" w:color="auto"/>
                            <w:bottom w:val="none" w:sz="0" w:space="0" w:color="auto"/>
                            <w:right w:val="none" w:sz="0" w:space="0" w:color="auto"/>
                          </w:divBdr>
                          <w:divsChild>
                            <w:div w:id="378819767">
                              <w:marLeft w:val="0"/>
                              <w:marRight w:val="0"/>
                              <w:marTop w:val="0"/>
                              <w:marBottom w:val="0"/>
                              <w:divBdr>
                                <w:top w:val="none" w:sz="0" w:space="0" w:color="auto"/>
                                <w:left w:val="none" w:sz="0" w:space="0" w:color="auto"/>
                                <w:bottom w:val="none" w:sz="0" w:space="0" w:color="auto"/>
                                <w:right w:val="none" w:sz="0" w:space="0" w:color="auto"/>
                              </w:divBdr>
                              <w:divsChild>
                                <w:div w:id="788547002">
                                  <w:marLeft w:val="0"/>
                                  <w:marRight w:val="0"/>
                                  <w:marTop w:val="0"/>
                                  <w:marBottom w:val="0"/>
                                  <w:divBdr>
                                    <w:top w:val="none" w:sz="0" w:space="0" w:color="auto"/>
                                    <w:left w:val="none" w:sz="0" w:space="0" w:color="auto"/>
                                    <w:bottom w:val="none" w:sz="0" w:space="0" w:color="auto"/>
                                    <w:right w:val="none" w:sz="0" w:space="0" w:color="auto"/>
                                  </w:divBdr>
                                  <w:divsChild>
                                    <w:div w:id="1184200323">
                                      <w:marLeft w:val="0"/>
                                      <w:marRight w:val="0"/>
                                      <w:marTop w:val="0"/>
                                      <w:marBottom w:val="0"/>
                                      <w:divBdr>
                                        <w:top w:val="none" w:sz="0" w:space="0" w:color="auto"/>
                                        <w:left w:val="none" w:sz="0" w:space="0" w:color="auto"/>
                                        <w:bottom w:val="none" w:sz="0" w:space="0" w:color="auto"/>
                                        <w:right w:val="none" w:sz="0" w:space="0" w:color="auto"/>
                                      </w:divBdr>
                                      <w:divsChild>
                                        <w:div w:id="347174835">
                                          <w:marLeft w:val="0"/>
                                          <w:marRight w:val="0"/>
                                          <w:marTop w:val="0"/>
                                          <w:marBottom w:val="0"/>
                                          <w:divBdr>
                                            <w:top w:val="none" w:sz="0" w:space="0" w:color="auto"/>
                                            <w:left w:val="none" w:sz="0" w:space="0" w:color="auto"/>
                                            <w:bottom w:val="none" w:sz="0" w:space="0" w:color="auto"/>
                                            <w:right w:val="none" w:sz="0" w:space="0" w:color="auto"/>
                                          </w:divBdr>
                                          <w:divsChild>
                                            <w:div w:id="667632165">
                                              <w:marLeft w:val="0"/>
                                              <w:marRight w:val="0"/>
                                              <w:marTop w:val="0"/>
                                              <w:marBottom w:val="495"/>
                                              <w:divBdr>
                                                <w:top w:val="none" w:sz="0" w:space="0" w:color="auto"/>
                                                <w:left w:val="none" w:sz="0" w:space="0" w:color="auto"/>
                                                <w:bottom w:val="none" w:sz="0" w:space="0" w:color="auto"/>
                                                <w:right w:val="none" w:sz="0" w:space="0" w:color="auto"/>
                                              </w:divBdr>
                                              <w:divsChild>
                                                <w:div w:id="4320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360191">
      <w:bodyDiv w:val="1"/>
      <w:marLeft w:val="0"/>
      <w:marRight w:val="0"/>
      <w:marTop w:val="0"/>
      <w:marBottom w:val="0"/>
      <w:divBdr>
        <w:top w:val="none" w:sz="0" w:space="0" w:color="auto"/>
        <w:left w:val="none" w:sz="0" w:space="0" w:color="auto"/>
        <w:bottom w:val="none" w:sz="0" w:space="0" w:color="auto"/>
        <w:right w:val="none" w:sz="0" w:space="0" w:color="auto"/>
      </w:divBdr>
      <w:divsChild>
        <w:div w:id="174610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580386">
              <w:marLeft w:val="0"/>
              <w:marRight w:val="0"/>
              <w:marTop w:val="0"/>
              <w:marBottom w:val="0"/>
              <w:divBdr>
                <w:top w:val="none" w:sz="0" w:space="0" w:color="auto"/>
                <w:left w:val="none" w:sz="0" w:space="0" w:color="auto"/>
                <w:bottom w:val="none" w:sz="0" w:space="0" w:color="auto"/>
                <w:right w:val="none" w:sz="0" w:space="0" w:color="auto"/>
              </w:divBdr>
              <w:divsChild>
                <w:div w:id="1270892089">
                  <w:marLeft w:val="0"/>
                  <w:marRight w:val="0"/>
                  <w:marTop w:val="0"/>
                  <w:marBottom w:val="0"/>
                  <w:divBdr>
                    <w:top w:val="none" w:sz="0" w:space="0" w:color="auto"/>
                    <w:left w:val="none" w:sz="0" w:space="0" w:color="auto"/>
                    <w:bottom w:val="none" w:sz="0" w:space="0" w:color="auto"/>
                    <w:right w:val="none" w:sz="0" w:space="0" w:color="auto"/>
                  </w:divBdr>
                  <w:divsChild>
                    <w:div w:id="1482386351">
                      <w:marLeft w:val="0"/>
                      <w:marRight w:val="0"/>
                      <w:marTop w:val="0"/>
                      <w:marBottom w:val="0"/>
                      <w:divBdr>
                        <w:top w:val="none" w:sz="0" w:space="0" w:color="auto"/>
                        <w:left w:val="none" w:sz="0" w:space="0" w:color="auto"/>
                        <w:bottom w:val="none" w:sz="0" w:space="0" w:color="auto"/>
                        <w:right w:val="none" w:sz="0" w:space="0" w:color="auto"/>
                      </w:divBdr>
                      <w:divsChild>
                        <w:div w:id="618074793">
                          <w:marLeft w:val="0"/>
                          <w:marRight w:val="0"/>
                          <w:marTop w:val="0"/>
                          <w:marBottom w:val="0"/>
                          <w:divBdr>
                            <w:top w:val="none" w:sz="0" w:space="0" w:color="auto"/>
                            <w:left w:val="none" w:sz="0" w:space="0" w:color="auto"/>
                            <w:bottom w:val="none" w:sz="0" w:space="0" w:color="auto"/>
                            <w:right w:val="none" w:sz="0" w:space="0" w:color="auto"/>
                          </w:divBdr>
                          <w:divsChild>
                            <w:div w:id="717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57681">
      <w:bodyDiv w:val="1"/>
      <w:marLeft w:val="0"/>
      <w:marRight w:val="0"/>
      <w:marTop w:val="0"/>
      <w:marBottom w:val="0"/>
      <w:divBdr>
        <w:top w:val="none" w:sz="0" w:space="0" w:color="auto"/>
        <w:left w:val="none" w:sz="0" w:space="0" w:color="auto"/>
        <w:bottom w:val="none" w:sz="0" w:space="0" w:color="auto"/>
        <w:right w:val="none" w:sz="0" w:space="0" w:color="auto"/>
      </w:divBdr>
      <w:divsChild>
        <w:div w:id="74811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411890">
              <w:marLeft w:val="0"/>
              <w:marRight w:val="0"/>
              <w:marTop w:val="0"/>
              <w:marBottom w:val="0"/>
              <w:divBdr>
                <w:top w:val="none" w:sz="0" w:space="0" w:color="auto"/>
                <w:left w:val="none" w:sz="0" w:space="0" w:color="auto"/>
                <w:bottom w:val="none" w:sz="0" w:space="0" w:color="auto"/>
                <w:right w:val="none" w:sz="0" w:space="0" w:color="auto"/>
              </w:divBdr>
              <w:divsChild>
                <w:div w:id="1095593455">
                  <w:marLeft w:val="0"/>
                  <w:marRight w:val="0"/>
                  <w:marTop w:val="0"/>
                  <w:marBottom w:val="0"/>
                  <w:divBdr>
                    <w:top w:val="none" w:sz="0" w:space="0" w:color="auto"/>
                    <w:left w:val="none" w:sz="0" w:space="0" w:color="auto"/>
                    <w:bottom w:val="none" w:sz="0" w:space="0" w:color="auto"/>
                    <w:right w:val="none" w:sz="0" w:space="0" w:color="auto"/>
                  </w:divBdr>
                  <w:divsChild>
                    <w:div w:id="881020078">
                      <w:marLeft w:val="0"/>
                      <w:marRight w:val="0"/>
                      <w:marTop w:val="0"/>
                      <w:marBottom w:val="0"/>
                      <w:divBdr>
                        <w:top w:val="none" w:sz="0" w:space="0" w:color="auto"/>
                        <w:left w:val="none" w:sz="0" w:space="0" w:color="auto"/>
                        <w:bottom w:val="none" w:sz="0" w:space="0" w:color="auto"/>
                        <w:right w:val="none" w:sz="0" w:space="0" w:color="auto"/>
                      </w:divBdr>
                      <w:divsChild>
                        <w:div w:id="1534884861">
                          <w:marLeft w:val="0"/>
                          <w:marRight w:val="0"/>
                          <w:marTop w:val="0"/>
                          <w:marBottom w:val="0"/>
                          <w:divBdr>
                            <w:top w:val="none" w:sz="0" w:space="0" w:color="auto"/>
                            <w:left w:val="none" w:sz="0" w:space="0" w:color="auto"/>
                            <w:bottom w:val="none" w:sz="0" w:space="0" w:color="auto"/>
                            <w:right w:val="none" w:sz="0" w:space="0" w:color="auto"/>
                          </w:divBdr>
                          <w:divsChild>
                            <w:div w:id="2432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0216">
      <w:bodyDiv w:val="1"/>
      <w:marLeft w:val="0"/>
      <w:marRight w:val="0"/>
      <w:marTop w:val="0"/>
      <w:marBottom w:val="0"/>
      <w:divBdr>
        <w:top w:val="none" w:sz="0" w:space="0" w:color="auto"/>
        <w:left w:val="none" w:sz="0" w:space="0" w:color="auto"/>
        <w:bottom w:val="none" w:sz="0" w:space="0" w:color="auto"/>
        <w:right w:val="none" w:sz="0" w:space="0" w:color="auto"/>
      </w:divBdr>
    </w:div>
    <w:div w:id="20780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hitehouse.gov/wp-content/uploads/2019/07/2-CFR_Part-200_Appendix-XI_Compliance-Supplement_2019_FINAL_07.01.19.pdf"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rauderestart@de.pr.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so.org/Pages/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68006CF811C4FB65AFF55FF0F26C9" ma:contentTypeVersion="13" ma:contentTypeDescription="Create a new document." ma:contentTypeScope="" ma:versionID="7c45d8956e13cc4f0b3f943c2fc7ce0c">
  <xsd:schema xmlns:xsd="http://www.w3.org/2001/XMLSchema" xmlns:xs="http://www.w3.org/2001/XMLSchema" xmlns:p="http://schemas.microsoft.com/office/2006/metadata/properties" xmlns:ns3="c47cf2d1-98ad-48fb-830e-aaf11b1bb079" xmlns:ns4="4d39f256-839b-4e98-b035-ad7ed7438c73" targetNamespace="http://schemas.microsoft.com/office/2006/metadata/properties" ma:root="true" ma:fieldsID="9f7a3838d0cc51fd47ae25d42d981717" ns3:_="" ns4:_="">
    <xsd:import namespace="c47cf2d1-98ad-48fb-830e-aaf11b1bb079"/>
    <xsd:import namespace="4d39f256-839b-4e98-b035-ad7ed7438c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cf2d1-98ad-48fb-830e-aaf11b1bb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9f256-839b-4e98-b035-ad7ed7438c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1862F-15D9-43D0-A473-13618931F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cf2d1-98ad-48fb-830e-aaf11b1bb079"/>
    <ds:schemaRef ds:uri="4d39f256-839b-4e98-b035-ad7ed7438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774B1-5CB8-44B5-99FA-A7556EACA5DD}">
  <ds:schemaRefs>
    <ds:schemaRef ds:uri="http://schemas.microsoft.com/sharepoint/v3/contenttype/forms"/>
  </ds:schemaRefs>
</ds:datastoreItem>
</file>

<file path=customXml/itemProps3.xml><?xml version="1.0" encoding="utf-8"?>
<ds:datastoreItem xmlns:ds="http://schemas.openxmlformats.org/officeDocument/2006/customXml" ds:itemID="{E31290B4-A25E-4157-B3AD-3805268BB90E}">
  <ds:schemaRefs>
    <ds:schemaRef ds:uri="http://schemas.openxmlformats.org/officeDocument/2006/bibliography"/>
  </ds:schemaRefs>
</ds:datastoreItem>
</file>

<file path=customXml/itemProps4.xml><?xml version="1.0" encoding="utf-8"?>
<ds:datastoreItem xmlns:ds="http://schemas.openxmlformats.org/officeDocument/2006/customXml" ds:itemID="{DF4BA0EE-1A0A-4194-AE53-88DBEB42F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27</Pages>
  <Words>9969</Words>
  <Characters>56829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Daileen</cp:lastModifiedBy>
  <cp:revision>21</cp:revision>
  <cp:lastPrinted>2020-08-17T12:29:00Z</cp:lastPrinted>
  <dcterms:created xsi:type="dcterms:W3CDTF">2021-03-24T21:20:00Z</dcterms:created>
  <dcterms:modified xsi:type="dcterms:W3CDTF">2021-03-25T20:42:00Z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0x010100AB068006CF811C4FB65AFF55FF0F26C9</vt:lpwstr>
  </property>
  <property fmtid="{D5CDD505-2E9C-101B-9397-08002B2CF9AE}" pid="3" name="MSIP_Label_e8623a7f-4aec-4980-abf7-42194908fdf7_Enabled">
    <vt:lpwstr>true</vt:lpwstr>
  </property>
  <property fmtid="{D5CDD505-2E9C-101B-9397-08002B2CF9AE}" pid="4" name="MSIP_Label_e8623a7f-4aec-4980-abf7-42194908fdf7_SetDate">
    <vt:lpwstr>2021-03-24T21:20:25Z</vt:lpwstr>
  </property>
  <property fmtid="{D5CDD505-2E9C-101B-9397-08002B2CF9AE}" pid="5" name="MSIP_Label_e8623a7f-4aec-4980-abf7-42194908fdf7_Method">
    <vt:lpwstr>Privileged</vt:lpwstr>
  </property>
  <property fmtid="{D5CDD505-2E9C-101B-9397-08002B2CF9AE}" pid="6" name="MSIP_Label_e8623a7f-4aec-4980-abf7-42194908fdf7_Name">
    <vt:lpwstr>e8623a7f-4aec-4980-abf7-42194908fdf7</vt:lpwstr>
  </property>
  <property fmtid="{D5CDD505-2E9C-101B-9397-08002B2CF9AE}" pid="7" name="MSIP_Label_e8623a7f-4aec-4980-abf7-42194908fdf7_SiteId">
    <vt:lpwstr>c82f2d55-67d0-4a4a-8820-2f84a18c1cdd</vt:lpwstr>
  </property>
  <property fmtid="{D5CDD505-2E9C-101B-9397-08002B2CF9AE}" pid="8" name="MSIP_Label_e8623a7f-4aec-4980-abf7-42194908fdf7_ActionId">
    <vt:lpwstr>e1218dab-d0ad-4a8c-96c7-937d4737fe11</vt:lpwstr>
  </property>
  <property fmtid="{D5CDD505-2E9C-101B-9397-08002B2CF9AE}" pid="9" name="MSIP_Label_e8623a7f-4aec-4980-abf7-42194908fdf7_ContentBits">
    <vt:lpwstr>0</vt:lpwstr>
  </property>
</Properties>
</file>