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9B8E4" w14:textId="77777777" w:rsidR="00D60E90" w:rsidRPr="003B571C" w:rsidRDefault="00372EE8" w:rsidP="00372EE8">
      <w:pPr>
        <w:jc w:val="center"/>
        <w:rPr>
          <w:rFonts w:ascii="Arial" w:hAnsi="Arial" w:cs="Arial"/>
          <w:b/>
          <w:lang w:val="es-PR"/>
        </w:rPr>
      </w:pPr>
      <w:r w:rsidRPr="003B571C">
        <w:rPr>
          <w:noProof/>
        </w:rPr>
        <w:drawing>
          <wp:inline distT="0" distB="0" distL="0" distR="0" wp14:anchorId="42A0FC86" wp14:editId="35048935">
            <wp:extent cx="2208628" cy="563955"/>
            <wp:effectExtent l="0" t="0" r="1270" b="7620"/>
            <wp:docPr id="1" name="Picture 1" descr="Image result for logo departamento de edu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departamento de educac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472" cy="57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70EB8" w14:textId="77777777" w:rsidR="00D60E90" w:rsidRPr="003B571C" w:rsidRDefault="00D60E90" w:rsidP="00372EE8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  <w:lang w:val="es-PR"/>
        </w:rPr>
      </w:pPr>
      <w:r w:rsidRPr="003B571C">
        <w:rPr>
          <w:rFonts w:ascii="Arial" w:hAnsi="Arial" w:cs="Arial"/>
          <w:b/>
          <w:sz w:val="24"/>
          <w:szCs w:val="32"/>
          <w:lang w:val="es-PR"/>
        </w:rPr>
        <w:t xml:space="preserve">Departamento de Educación de Puerto Rico </w:t>
      </w:r>
    </w:p>
    <w:p w14:paraId="2E1C877B" w14:textId="77777777" w:rsidR="00D60E90" w:rsidRPr="003B571C" w:rsidRDefault="00372EE8" w:rsidP="00372EE8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  <w:lang w:val="es-PR"/>
        </w:rPr>
      </w:pPr>
      <w:r w:rsidRPr="003B571C">
        <w:rPr>
          <w:rFonts w:ascii="Arial" w:hAnsi="Arial" w:cs="Arial"/>
          <w:b/>
          <w:sz w:val="24"/>
          <w:szCs w:val="32"/>
          <w:lang w:val="es-PR"/>
        </w:rPr>
        <w:t>Secretaría Auxiliar de Asuntos Federales</w:t>
      </w:r>
    </w:p>
    <w:p w14:paraId="17863CF9" w14:textId="77777777" w:rsidR="00372EE8" w:rsidRPr="003B571C" w:rsidRDefault="00372EE8" w:rsidP="00372EE8">
      <w:pPr>
        <w:spacing w:after="0" w:line="240" w:lineRule="auto"/>
        <w:jc w:val="center"/>
        <w:rPr>
          <w:rFonts w:ascii="Arial" w:hAnsi="Arial" w:cs="Arial"/>
          <w:lang w:val="es-PR"/>
        </w:rPr>
      </w:pPr>
    </w:p>
    <w:p w14:paraId="13DDD448" w14:textId="77777777" w:rsidR="00372EE8" w:rsidRPr="003B571C" w:rsidRDefault="00372EE8" w:rsidP="00372EE8">
      <w:pPr>
        <w:spacing w:after="0" w:line="240" w:lineRule="auto"/>
        <w:jc w:val="center"/>
        <w:rPr>
          <w:rFonts w:ascii="Arial" w:hAnsi="Arial" w:cs="Arial"/>
          <w:lang w:val="es-PR"/>
        </w:rPr>
      </w:pPr>
    </w:p>
    <w:p w14:paraId="40258DFF" w14:textId="77777777" w:rsidR="00372EE8" w:rsidRPr="003B571C" w:rsidRDefault="00372EE8" w:rsidP="00372EE8">
      <w:pPr>
        <w:spacing w:after="0" w:line="240" w:lineRule="auto"/>
        <w:jc w:val="center"/>
        <w:rPr>
          <w:rFonts w:ascii="Arial" w:hAnsi="Arial" w:cs="Arial"/>
          <w:lang w:val="es-PR"/>
        </w:rPr>
      </w:pPr>
    </w:p>
    <w:p w14:paraId="7BC5402E" w14:textId="77777777" w:rsidR="00372EE8" w:rsidRPr="003B571C" w:rsidRDefault="00372EE8" w:rsidP="00372EE8">
      <w:pPr>
        <w:spacing w:after="0" w:line="240" w:lineRule="auto"/>
        <w:jc w:val="center"/>
        <w:rPr>
          <w:rFonts w:ascii="Arial" w:hAnsi="Arial" w:cs="Arial"/>
          <w:lang w:val="es-PR"/>
        </w:rPr>
      </w:pPr>
    </w:p>
    <w:p w14:paraId="593C2F07" w14:textId="77777777" w:rsidR="00372EE8" w:rsidRPr="003B571C" w:rsidRDefault="00372EE8" w:rsidP="00372EE8">
      <w:pPr>
        <w:spacing w:after="0" w:line="240" w:lineRule="auto"/>
        <w:jc w:val="center"/>
        <w:rPr>
          <w:rFonts w:ascii="Arial" w:hAnsi="Arial" w:cs="Arial"/>
          <w:lang w:val="es-PR"/>
        </w:rPr>
      </w:pPr>
    </w:p>
    <w:p w14:paraId="74E5055E" w14:textId="77777777" w:rsidR="00372EE8" w:rsidRPr="003B571C" w:rsidRDefault="00372EE8" w:rsidP="00372EE8">
      <w:pPr>
        <w:spacing w:after="0" w:line="240" w:lineRule="auto"/>
        <w:jc w:val="center"/>
        <w:rPr>
          <w:rFonts w:ascii="Arial" w:hAnsi="Arial" w:cs="Arial"/>
          <w:lang w:val="es-PR"/>
        </w:rPr>
      </w:pPr>
    </w:p>
    <w:p w14:paraId="110BE196" w14:textId="77777777" w:rsidR="00372EE8" w:rsidRPr="003B571C" w:rsidRDefault="00372EE8" w:rsidP="00372EE8">
      <w:pPr>
        <w:spacing w:after="0" w:line="240" w:lineRule="auto"/>
        <w:jc w:val="center"/>
        <w:rPr>
          <w:rFonts w:ascii="Arial" w:hAnsi="Arial" w:cs="Arial"/>
          <w:lang w:val="es-PR"/>
        </w:rPr>
      </w:pPr>
    </w:p>
    <w:p w14:paraId="0FD9E37A" w14:textId="77777777" w:rsidR="00372EE8" w:rsidRPr="003B571C" w:rsidRDefault="00372EE8" w:rsidP="00372EE8">
      <w:pPr>
        <w:spacing w:after="0" w:line="240" w:lineRule="auto"/>
        <w:jc w:val="center"/>
        <w:rPr>
          <w:rFonts w:ascii="Arial" w:hAnsi="Arial" w:cs="Arial"/>
          <w:lang w:val="es-PR"/>
        </w:rPr>
      </w:pPr>
    </w:p>
    <w:p w14:paraId="34F88AB3" w14:textId="77777777" w:rsidR="00372EE8" w:rsidRPr="003B571C" w:rsidRDefault="00372EE8" w:rsidP="00372EE8">
      <w:pPr>
        <w:spacing w:after="0" w:line="240" w:lineRule="auto"/>
        <w:jc w:val="center"/>
        <w:rPr>
          <w:rFonts w:ascii="Arial" w:hAnsi="Arial" w:cs="Arial"/>
          <w:lang w:val="es-PR"/>
        </w:rPr>
      </w:pPr>
    </w:p>
    <w:p w14:paraId="3DEDC487" w14:textId="77777777" w:rsidR="00372EE8" w:rsidRPr="003B571C" w:rsidRDefault="00372EE8" w:rsidP="00372EE8">
      <w:pPr>
        <w:spacing w:after="0" w:line="240" w:lineRule="auto"/>
        <w:jc w:val="center"/>
        <w:rPr>
          <w:rFonts w:ascii="Arial" w:hAnsi="Arial" w:cs="Arial"/>
          <w:lang w:val="es-PR"/>
        </w:rPr>
      </w:pPr>
    </w:p>
    <w:p w14:paraId="65993E2A" w14:textId="77777777" w:rsidR="00372EE8" w:rsidRPr="003B571C" w:rsidRDefault="00372EE8" w:rsidP="00372EE8">
      <w:pPr>
        <w:spacing w:after="0" w:line="240" w:lineRule="auto"/>
        <w:jc w:val="center"/>
        <w:rPr>
          <w:rFonts w:ascii="Arial" w:hAnsi="Arial" w:cs="Arial"/>
          <w:lang w:val="es-PR"/>
        </w:rPr>
      </w:pPr>
    </w:p>
    <w:p w14:paraId="42F2CA44" w14:textId="77777777" w:rsidR="00372EE8" w:rsidRPr="003B571C" w:rsidRDefault="00372EE8" w:rsidP="00372EE8">
      <w:pPr>
        <w:spacing w:after="0" w:line="240" w:lineRule="auto"/>
        <w:jc w:val="center"/>
        <w:rPr>
          <w:rFonts w:ascii="Arial" w:hAnsi="Arial" w:cs="Arial"/>
          <w:lang w:val="es-PR"/>
        </w:rPr>
      </w:pPr>
    </w:p>
    <w:p w14:paraId="774679F4" w14:textId="77777777" w:rsidR="00372EE8" w:rsidRPr="003B571C" w:rsidRDefault="00372EE8" w:rsidP="00372EE8">
      <w:pPr>
        <w:spacing w:after="0" w:line="240" w:lineRule="auto"/>
        <w:jc w:val="center"/>
        <w:rPr>
          <w:rFonts w:ascii="Arial" w:hAnsi="Arial" w:cs="Arial"/>
          <w:lang w:val="es-PR"/>
        </w:rPr>
      </w:pPr>
    </w:p>
    <w:p w14:paraId="65C16B04" w14:textId="77777777" w:rsidR="00372EE8" w:rsidRPr="003B571C" w:rsidRDefault="00372EE8" w:rsidP="00372EE8">
      <w:pPr>
        <w:spacing w:after="0" w:line="240" w:lineRule="auto"/>
        <w:jc w:val="center"/>
        <w:rPr>
          <w:rFonts w:ascii="Arial" w:hAnsi="Arial" w:cs="Arial"/>
          <w:lang w:val="es-PR"/>
        </w:rPr>
      </w:pPr>
    </w:p>
    <w:p w14:paraId="48336F84" w14:textId="77777777" w:rsidR="00372EE8" w:rsidRPr="003B571C" w:rsidRDefault="00372EE8" w:rsidP="00372EE8">
      <w:pPr>
        <w:spacing w:after="0" w:line="240" w:lineRule="auto"/>
        <w:jc w:val="center"/>
        <w:rPr>
          <w:rFonts w:ascii="Arial" w:hAnsi="Arial" w:cs="Arial"/>
          <w:lang w:val="es-PR"/>
        </w:rPr>
      </w:pPr>
    </w:p>
    <w:p w14:paraId="7849E67A" w14:textId="77777777" w:rsidR="00372EE8" w:rsidRPr="003B571C" w:rsidRDefault="00372EE8" w:rsidP="00372EE8">
      <w:pPr>
        <w:spacing w:after="0" w:line="240" w:lineRule="auto"/>
        <w:jc w:val="center"/>
        <w:rPr>
          <w:rFonts w:ascii="Arial" w:hAnsi="Arial" w:cs="Arial"/>
          <w:lang w:val="es-PR"/>
        </w:rPr>
      </w:pPr>
    </w:p>
    <w:p w14:paraId="461BDA1E" w14:textId="77777777" w:rsidR="00372EE8" w:rsidRPr="003B571C" w:rsidRDefault="00372EE8" w:rsidP="009E6BA3">
      <w:pPr>
        <w:spacing w:after="0"/>
        <w:jc w:val="center"/>
        <w:rPr>
          <w:rFonts w:ascii="Arial" w:hAnsi="Arial" w:cs="Arial"/>
          <w:b/>
          <w:sz w:val="32"/>
          <w:szCs w:val="32"/>
          <w:lang w:val="es-PR"/>
        </w:rPr>
      </w:pPr>
      <w:r w:rsidRPr="003B571C">
        <w:rPr>
          <w:rFonts w:ascii="Arial" w:hAnsi="Arial" w:cs="Arial"/>
          <w:b/>
          <w:sz w:val="32"/>
          <w:szCs w:val="32"/>
          <w:lang w:val="es-PR"/>
        </w:rPr>
        <w:t>Guía de Procesos Fiscales</w:t>
      </w:r>
    </w:p>
    <w:p w14:paraId="358B9E38" w14:textId="77777777" w:rsidR="00D624A5" w:rsidRPr="003B571C" w:rsidRDefault="00372EE8" w:rsidP="00E118D3">
      <w:pPr>
        <w:spacing w:after="0"/>
        <w:jc w:val="center"/>
        <w:rPr>
          <w:rFonts w:ascii="Arial" w:hAnsi="Arial" w:cs="Arial"/>
          <w:b/>
          <w:sz w:val="32"/>
          <w:szCs w:val="32"/>
          <w:lang w:val="es-PR"/>
        </w:rPr>
      </w:pPr>
      <w:r w:rsidRPr="003B571C">
        <w:rPr>
          <w:rFonts w:ascii="Arial" w:hAnsi="Arial" w:cs="Arial"/>
          <w:b/>
          <w:sz w:val="32"/>
          <w:szCs w:val="32"/>
          <w:lang w:val="es-PR"/>
        </w:rPr>
        <w:t xml:space="preserve">Fondos Programa </w:t>
      </w:r>
      <w:r w:rsidR="008925CC" w:rsidRPr="003B571C">
        <w:rPr>
          <w:rFonts w:ascii="Arial" w:hAnsi="Arial" w:cs="Arial"/>
          <w:b/>
          <w:sz w:val="32"/>
          <w:szCs w:val="32"/>
          <w:lang w:val="es-PR"/>
        </w:rPr>
        <w:t>Ayuda Inmediata para Reiniciar Operaciones Escolares (</w:t>
      </w:r>
      <w:r w:rsidR="008925CC" w:rsidRPr="003B571C">
        <w:rPr>
          <w:rFonts w:ascii="Arial" w:hAnsi="Arial" w:cs="Arial"/>
          <w:b/>
          <w:i/>
          <w:sz w:val="32"/>
          <w:szCs w:val="32"/>
          <w:lang w:val="es-PR"/>
        </w:rPr>
        <w:t>R</w:t>
      </w:r>
      <w:r w:rsidR="00F5139A" w:rsidRPr="003B571C">
        <w:rPr>
          <w:rFonts w:ascii="Arial" w:hAnsi="Arial" w:cs="Arial"/>
          <w:b/>
          <w:i/>
          <w:sz w:val="32"/>
          <w:szCs w:val="32"/>
          <w:lang w:val="es-PR"/>
        </w:rPr>
        <w:t>estart</w:t>
      </w:r>
      <w:r w:rsidR="008925CC" w:rsidRPr="003B571C">
        <w:rPr>
          <w:rFonts w:ascii="Arial" w:hAnsi="Arial" w:cs="Arial"/>
          <w:b/>
          <w:sz w:val="32"/>
          <w:szCs w:val="32"/>
          <w:lang w:val="es-PR"/>
        </w:rPr>
        <w:t>)</w:t>
      </w:r>
      <w:r w:rsidR="00E118D3" w:rsidRPr="003B571C">
        <w:rPr>
          <w:rFonts w:ascii="Arial" w:hAnsi="Arial" w:cs="Arial"/>
          <w:b/>
          <w:sz w:val="32"/>
          <w:szCs w:val="32"/>
          <w:lang w:val="es-PR"/>
        </w:rPr>
        <w:t xml:space="preserve"> </w:t>
      </w:r>
      <w:r w:rsidR="00D624A5" w:rsidRPr="003B571C">
        <w:rPr>
          <w:rFonts w:ascii="Arial" w:hAnsi="Arial" w:cs="Arial"/>
          <w:b/>
          <w:i/>
          <w:sz w:val="32"/>
          <w:szCs w:val="32"/>
          <w:lang w:val="es-PR"/>
        </w:rPr>
        <w:t>CFDA Number</w:t>
      </w:r>
      <w:r w:rsidR="00433E7F" w:rsidRPr="003B571C">
        <w:rPr>
          <w:rFonts w:ascii="Arial" w:hAnsi="Arial" w:cs="Arial"/>
          <w:b/>
          <w:sz w:val="32"/>
          <w:szCs w:val="32"/>
          <w:lang w:val="es-PR"/>
        </w:rPr>
        <w:t>: 84.938A</w:t>
      </w:r>
    </w:p>
    <w:p w14:paraId="4841A4B5" w14:textId="77777777" w:rsidR="00372EE8" w:rsidRPr="003B571C" w:rsidRDefault="00372EE8" w:rsidP="00372EE8">
      <w:pPr>
        <w:jc w:val="center"/>
        <w:rPr>
          <w:rFonts w:ascii="Arial" w:hAnsi="Arial" w:cs="Arial"/>
          <w:b/>
          <w:sz w:val="28"/>
          <w:szCs w:val="28"/>
          <w:lang w:val="es-PR"/>
        </w:rPr>
      </w:pPr>
    </w:p>
    <w:p w14:paraId="19588FD8" w14:textId="77777777" w:rsidR="00372EE8" w:rsidRPr="003B571C" w:rsidRDefault="00372EE8" w:rsidP="00372EE8">
      <w:pPr>
        <w:jc w:val="center"/>
        <w:rPr>
          <w:rFonts w:ascii="Arial" w:hAnsi="Arial" w:cs="Arial"/>
          <w:b/>
          <w:sz w:val="28"/>
          <w:szCs w:val="28"/>
          <w:lang w:val="es-PR"/>
        </w:rPr>
      </w:pPr>
    </w:p>
    <w:p w14:paraId="75930E02" w14:textId="77777777" w:rsidR="00372EE8" w:rsidRPr="003B571C" w:rsidRDefault="00372EE8" w:rsidP="00372EE8">
      <w:pPr>
        <w:jc w:val="center"/>
        <w:rPr>
          <w:rFonts w:ascii="Arial" w:hAnsi="Arial" w:cs="Arial"/>
          <w:b/>
          <w:sz w:val="28"/>
          <w:szCs w:val="28"/>
          <w:lang w:val="es-PR"/>
        </w:rPr>
      </w:pPr>
    </w:p>
    <w:p w14:paraId="258D59F0" w14:textId="77777777" w:rsidR="008925CC" w:rsidRPr="003B571C" w:rsidRDefault="008925CC" w:rsidP="00372EE8">
      <w:pPr>
        <w:jc w:val="center"/>
        <w:rPr>
          <w:rFonts w:ascii="Arial" w:hAnsi="Arial" w:cs="Arial"/>
          <w:b/>
          <w:sz w:val="28"/>
          <w:szCs w:val="28"/>
          <w:lang w:val="es-PR"/>
        </w:rPr>
      </w:pPr>
    </w:p>
    <w:p w14:paraId="3AC025BA" w14:textId="77777777" w:rsidR="00372EE8" w:rsidRPr="003B571C" w:rsidRDefault="00372EE8" w:rsidP="00822F2B">
      <w:pPr>
        <w:rPr>
          <w:rFonts w:ascii="Arial" w:hAnsi="Arial" w:cs="Arial"/>
          <w:b/>
          <w:sz w:val="28"/>
          <w:szCs w:val="28"/>
          <w:lang w:val="es-PR"/>
        </w:rPr>
      </w:pPr>
    </w:p>
    <w:p w14:paraId="78742CBB" w14:textId="77777777" w:rsidR="008925CC" w:rsidRPr="003B571C" w:rsidRDefault="008925CC" w:rsidP="00372EE8">
      <w:pPr>
        <w:rPr>
          <w:rFonts w:ascii="Arial" w:hAnsi="Arial" w:cs="Arial"/>
          <w:b/>
          <w:sz w:val="28"/>
          <w:szCs w:val="28"/>
          <w:lang w:val="es-PR"/>
        </w:rPr>
      </w:pPr>
    </w:p>
    <w:p w14:paraId="385FADCF" w14:textId="77777777" w:rsidR="00C91EF2" w:rsidRPr="003B571C" w:rsidRDefault="00C91EF2" w:rsidP="00372EE8">
      <w:pPr>
        <w:rPr>
          <w:rFonts w:ascii="Arial" w:hAnsi="Arial" w:cs="Arial"/>
          <w:b/>
          <w:sz w:val="28"/>
          <w:szCs w:val="28"/>
          <w:lang w:val="es-PR"/>
        </w:rPr>
      </w:pPr>
    </w:p>
    <w:p w14:paraId="499BABC0" w14:textId="1D84F426" w:rsidR="00E91930" w:rsidRDefault="00A74D07" w:rsidP="00212350">
      <w:pPr>
        <w:jc w:val="center"/>
        <w:rPr>
          <w:rFonts w:ascii="Arial" w:hAnsi="Arial" w:cs="Arial"/>
          <w:b/>
          <w:sz w:val="24"/>
          <w:szCs w:val="28"/>
          <w:lang w:val="es-PR"/>
        </w:rPr>
      </w:pPr>
      <w:r w:rsidRPr="003B571C">
        <w:rPr>
          <w:rFonts w:ascii="Arial" w:hAnsi="Arial" w:cs="Arial"/>
          <w:b/>
          <w:sz w:val="24"/>
          <w:szCs w:val="28"/>
          <w:lang w:val="es-PR"/>
        </w:rPr>
        <w:t xml:space="preserve">Revisado </w:t>
      </w:r>
      <w:r w:rsidR="00680F6F">
        <w:rPr>
          <w:rFonts w:ascii="Arial" w:hAnsi="Arial" w:cs="Arial"/>
          <w:b/>
          <w:sz w:val="24"/>
          <w:szCs w:val="28"/>
          <w:lang w:val="es-PR"/>
        </w:rPr>
        <w:t>a</w:t>
      </w:r>
      <w:r w:rsidRPr="003B571C">
        <w:rPr>
          <w:rFonts w:ascii="Arial" w:hAnsi="Arial" w:cs="Arial"/>
          <w:b/>
          <w:sz w:val="24"/>
          <w:szCs w:val="28"/>
          <w:lang w:val="es-PR"/>
        </w:rPr>
        <w:t xml:space="preserve">l </w:t>
      </w:r>
      <w:r w:rsidR="002F3C28">
        <w:rPr>
          <w:rFonts w:ascii="Arial" w:hAnsi="Arial" w:cs="Arial"/>
          <w:b/>
          <w:sz w:val="24"/>
          <w:szCs w:val="28"/>
          <w:lang w:val="es-PR"/>
        </w:rPr>
        <w:t>2</w:t>
      </w:r>
      <w:r w:rsidR="00680F6F">
        <w:rPr>
          <w:rFonts w:ascii="Arial" w:hAnsi="Arial" w:cs="Arial"/>
          <w:b/>
          <w:sz w:val="24"/>
          <w:szCs w:val="28"/>
          <w:lang w:val="es-PR"/>
        </w:rPr>
        <w:t>6</w:t>
      </w:r>
      <w:r w:rsidR="002F3C28">
        <w:rPr>
          <w:rFonts w:ascii="Arial" w:hAnsi="Arial" w:cs="Arial"/>
          <w:b/>
          <w:sz w:val="24"/>
          <w:szCs w:val="28"/>
          <w:lang w:val="es-PR"/>
        </w:rPr>
        <w:t xml:space="preserve"> de febrero de 2021</w:t>
      </w:r>
    </w:p>
    <w:p w14:paraId="33C93075" w14:textId="0ED3642A" w:rsidR="008F75CF" w:rsidRPr="00AD0CD2" w:rsidRDefault="006447F3" w:rsidP="006447F3">
      <w:pPr>
        <w:spacing w:line="240" w:lineRule="auto"/>
        <w:jc w:val="both"/>
        <w:rPr>
          <w:rFonts w:ascii="Arial" w:hAnsi="Arial" w:cs="Arial"/>
          <w:bCs/>
          <w:color w:val="FF0000"/>
          <w:lang w:val="es-PR"/>
        </w:rPr>
      </w:pPr>
      <w:r>
        <w:rPr>
          <w:rFonts w:ascii="Arial" w:hAnsi="Arial" w:cs="Arial"/>
          <w:bCs/>
          <w:color w:val="FF0000"/>
          <w:lang w:val="es-PR"/>
        </w:rPr>
        <w:t>Advertencia</w:t>
      </w:r>
      <w:r w:rsidR="008F75CF" w:rsidRPr="00AD0CD2">
        <w:rPr>
          <w:rFonts w:ascii="Arial" w:hAnsi="Arial" w:cs="Arial"/>
          <w:bCs/>
          <w:color w:val="FF0000"/>
          <w:lang w:val="es-PR"/>
        </w:rPr>
        <w:t>: Est</w:t>
      </w:r>
      <w:r w:rsidR="00680F6F">
        <w:rPr>
          <w:rFonts w:ascii="Arial" w:hAnsi="Arial" w:cs="Arial"/>
          <w:bCs/>
          <w:color w:val="FF0000"/>
          <w:lang w:val="es-PR"/>
        </w:rPr>
        <w:t>e borrador de</w:t>
      </w:r>
      <w:r w:rsidR="008F75CF" w:rsidRPr="00AD0CD2">
        <w:rPr>
          <w:rFonts w:ascii="Arial" w:hAnsi="Arial" w:cs="Arial"/>
          <w:bCs/>
          <w:color w:val="FF0000"/>
          <w:lang w:val="es-PR"/>
        </w:rPr>
        <w:t xml:space="preserve"> guía se encuentra </w:t>
      </w:r>
      <w:r w:rsidR="00680F6F">
        <w:rPr>
          <w:rFonts w:ascii="Arial" w:hAnsi="Arial" w:cs="Arial"/>
          <w:bCs/>
          <w:color w:val="FF0000"/>
          <w:lang w:val="es-PR"/>
        </w:rPr>
        <w:t xml:space="preserve">bajo revisión y actualización </w:t>
      </w:r>
      <w:r w:rsidR="00AD0CD2">
        <w:rPr>
          <w:rFonts w:ascii="Arial" w:hAnsi="Arial" w:cs="Arial"/>
          <w:bCs/>
          <w:color w:val="FF0000"/>
          <w:lang w:val="es-PR"/>
        </w:rPr>
        <w:t>para atemperarla a las regulaciones actuales</w:t>
      </w:r>
      <w:r>
        <w:rPr>
          <w:rFonts w:ascii="Arial" w:hAnsi="Arial" w:cs="Arial"/>
          <w:bCs/>
          <w:color w:val="FF0000"/>
          <w:lang w:val="es-PR"/>
        </w:rPr>
        <w:t xml:space="preserve"> aplicables</w:t>
      </w:r>
      <w:r w:rsidR="00AD0CD2" w:rsidRPr="00AD0CD2">
        <w:rPr>
          <w:rFonts w:ascii="Arial" w:hAnsi="Arial" w:cs="Arial"/>
          <w:bCs/>
          <w:color w:val="FF0000"/>
          <w:lang w:val="es-PR"/>
        </w:rPr>
        <w:t>. Luego pasará para la evaluación y firma de la Secretaria</w:t>
      </w:r>
      <w:r w:rsidR="00AD0CD2">
        <w:rPr>
          <w:rFonts w:ascii="Arial" w:hAnsi="Arial" w:cs="Arial"/>
          <w:bCs/>
          <w:color w:val="FF0000"/>
          <w:lang w:val="es-PR"/>
        </w:rPr>
        <w:t xml:space="preserve"> del DEPR. Se incluye como parte de los materiales de Restart </w:t>
      </w:r>
      <w:r>
        <w:rPr>
          <w:rFonts w:ascii="Arial" w:hAnsi="Arial" w:cs="Arial"/>
          <w:bCs/>
          <w:color w:val="FF0000"/>
          <w:lang w:val="es-PR"/>
        </w:rPr>
        <w:t xml:space="preserve">de modo informativo para el personal relevante, pero no sustituye las leyes, reglamentos, manuales, guías, cartas circulares y/o políticas que se resumen en la </w:t>
      </w:r>
      <w:r w:rsidR="00680F6F">
        <w:rPr>
          <w:rFonts w:ascii="Arial" w:hAnsi="Arial" w:cs="Arial"/>
          <w:bCs/>
          <w:color w:val="FF0000"/>
          <w:lang w:val="es-PR"/>
        </w:rPr>
        <w:t>guía</w:t>
      </w:r>
      <w:r>
        <w:rPr>
          <w:rFonts w:ascii="Arial" w:hAnsi="Arial" w:cs="Arial"/>
          <w:bCs/>
          <w:color w:val="FF0000"/>
          <w:lang w:val="es-PR"/>
        </w:rPr>
        <w:t xml:space="preserve">. Una vez </w:t>
      </w:r>
      <w:r w:rsidR="00680F6F">
        <w:rPr>
          <w:rFonts w:ascii="Arial" w:hAnsi="Arial" w:cs="Arial"/>
          <w:bCs/>
          <w:color w:val="FF0000"/>
          <w:lang w:val="es-PR"/>
        </w:rPr>
        <w:t xml:space="preserve">la guía sea </w:t>
      </w:r>
      <w:r>
        <w:rPr>
          <w:rFonts w:ascii="Arial" w:hAnsi="Arial" w:cs="Arial"/>
          <w:bCs/>
          <w:color w:val="FF0000"/>
          <w:lang w:val="es-PR"/>
        </w:rPr>
        <w:t xml:space="preserve">final y </w:t>
      </w:r>
      <w:r w:rsidR="00680F6F">
        <w:rPr>
          <w:rFonts w:ascii="Arial" w:hAnsi="Arial" w:cs="Arial"/>
          <w:bCs/>
          <w:color w:val="FF0000"/>
          <w:lang w:val="es-PR"/>
        </w:rPr>
        <w:t xml:space="preserve">se encuentre </w:t>
      </w:r>
      <w:r>
        <w:rPr>
          <w:rFonts w:ascii="Arial" w:hAnsi="Arial" w:cs="Arial"/>
          <w:bCs/>
          <w:color w:val="FF0000"/>
          <w:lang w:val="es-PR"/>
        </w:rPr>
        <w:t>firmada, se sustituirá por dicho documento</w:t>
      </w:r>
      <w:r w:rsidR="00680F6F">
        <w:rPr>
          <w:rFonts w:ascii="Arial" w:hAnsi="Arial" w:cs="Arial"/>
          <w:bCs/>
          <w:color w:val="FF0000"/>
          <w:lang w:val="es-PR"/>
        </w:rPr>
        <w:t xml:space="preserve"> en el enlace correspondiente</w:t>
      </w:r>
      <w:r>
        <w:rPr>
          <w:rFonts w:ascii="Arial" w:hAnsi="Arial" w:cs="Arial"/>
          <w:bCs/>
          <w:color w:val="FF0000"/>
          <w:lang w:val="es-PR"/>
        </w:rPr>
        <w:t xml:space="preserve">. </w:t>
      </w:r>
    </w:p>
    <w:p w14:paraId="7418BE83" w14:textId="77777777" w:rsidR="00077FCE" w:rsidRPr="003B571C" w:rsidRDefault="00077FCE">
      <w:pPr>
        <w:rPr>
          <w:rFonts w:ascii="Arial" w:hAnsi="Arial" w:cs="Arial"/>
          <w:b/>
          <w:sz w:val="24"/>
          <w:szCs w:val="28"/>
          <w:lang w:val="es-PR"/>
        </w:rPr>
      </w:pPr>
      <w:r w:rsidRPr="003B571C">
        <w:rPr>
          <w:rFonts w:ascii="Arial" w:hAnsi="Arial" w:cs="Arial"/>
          <w:b/>
          <w:sz w:val="24"/>
          <w:szCs w:val="28"/>
          <w:lang w:val="es-PR"/>
        </w:rPr>
        <w:lastRenderedPageBreak/>
        <w:br w:type="page"/>
      </w:r>
    </w:p>
    <w:p w14:paraId="745198A7" w14:textId="77777777" w:rsidR="00077FCE" w:rsidRPr="003B571C" w:rsidRDefault="00077FCE" w:rsidP="00077FCE">
      <w:pPr>
        <w:spacing w:after="0"/>
        <w:jc w:val="center"/>
        <w:rPr>
          <w:rFonts w:ascii="Arial" w:hAnsi="Arial" w:cs="Arial"/>
          <w:b/>
          <w:sz w:val="26"/>
          <w:szCs w:val="26"/>
          <w:lang w:val="es-PR"/>
        </w:rPr>
      </w:pPr>
      <w:r w:rsidRPr="003B571C">
        <w:rPr>
          <w:rFonts w:ascii="Arial" w:hAnsi="Arial" w:cs="Arial"/>
          <w:b/>
          <w:sz w:val="26"/>
          <w:szCs w:val="26"/>
          <w:lang w:val="es-PR"/>
        </w:rPr>
        <w:lastRenderedPageBreak/>
        <w:t>Guía de Procesos Fiscales</w:t>
      </w:r>
    </w:p>
    <w:p w14:paraId="795A429D" w14:textId="77777777" w:rsidR="00077FCE" w:rsidRPr="003B571C" w:rsidRDefault="00077FCE" w:rsidP="00077FCE">
      <w:pPr>
        <w:spacing w:after="0"/>
        <w:jc w:val="center"/>
        <w:rPr>
          <w:rFonts w:ascii="Arial" w:hAnsi="Arial" w:cs="Arial"/>
          <w:b/>
          <w:sz w:val="26"/>
          <w:szCs w:val="26"/>
          <w:lang w:val="es-PR"/>
        </w:rPr>
      </w:pPr>
      <w:r w:rsidRPr="003B571C">
        <w:rPr>
          <w:rFonts w:ascii="Arial" w:hAnsi="Arial" w:cs="Arial"/>
          <w:b/>
          <w:sz w:val="26"/>
          <w:szCs w:val="26"/>
          <w:lang w:val="es-PR"/>
        </w:rPr>
        <w:t>Fondos Programa Ayuda Inmediata para Reiniciar Operaciones Escolares (</w:t>
      </w:r>
      <w:r w:rsidRPr="003B571C">
        <w:rPr>
          <w:rFonts w:ascii="Arial" w:hAnsi="Arial" w:cs="Arial"/>
          <w:b/>
          <w:i/>
          <w:sz w:val="26"/>
          <w:szCs w:val="26"/>
          <w:lang w:val="es-PR"/>
        </w:rPr>
        <w:t>Restart) CFDA Number</w:t>
      </w:r>
      <w:r w:rsidRPr="003B571C">
        <w:rPr>
          <w:rFonts w:ascii="Arial" w:hAnsi="Arial" w:cs="Arial"/>
          <w:b/>
          <w:sz w:val="26"/>
          <w:szCs w:val="26"/>
          <w:lang w:val="es-PR"/>
        </w:rPr>
        <w:t>: 84.938A</w:t>
      </w:r>
    </w:p>
    <w:p w14:paraId="16BA7C4C" w14:textId="77777777" w:rsidR="00077FCE" w:rsidRPr="00D45FC7" w:rsidRDefault="00077FCE" w:rsidP="00212350">
      <w:pPr>
        <w:jc w:val="center"/>
        <w:rPr>
          <w:rFonts w:ascii="Times New Roman" w:hAnsi="Times New Roman" w:cs="Times New Roman"/>
          <w:b/>
          <w:sz w:val="22"/>
          <w:szCs w:val="22"/>
          <w:lang w:val="es-PR"/>
        </w:rPr>
      </w:pPr>
    </w:p>
    <w:p w14:paraId="0B3F1B72" w14:textId="77777777" w:rsidR="00A17407" w:rsidRPr="00D45FC7" w:rsidRDefault="00A17407" w:rsidP="007537C5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b/>
          <w:sz w:val="22"/>
          <w:szCs w:val="22"/>
          <w:lang w:val="es-PR"/>
        </w:rPr>
      </w:pPr>
      <w:r w:rsidRPr="00D45FC7">
        <w:rPr>
          <w:rFonts w:ascii="Times New Roman" w:hAnsi="Times New Roman" w:cs="Times New Roman"/>
          <w:b/>
          <w:sz w:val="22"/>
          <w:szCs w:val="22"/>
          <w:lang w:val="es-PR"/>
        </w:rPr>
        <w:t>Base Legal</w:t>
      </w:r>
    </w:p>
    <w:p w14:paraId="0F0CA1DC" w14:textId="77777777" w:rsidR="005C0777" w:rsidRPr="00D45FC7" w:rsidRDefault="00A17407" w:rsidP="005C0777">
      <w:pPr>
        <w:jc w:val="both"/>
        <w:rPr>
          <w:rFonts w:ascii="Times New Roman" w:hAnsi="Times New Roman" w:cs="Times New Roman"/>
          <w:sz w:val="22"/>
          <w:szCs w:val="22"/>
          <w:lang w:val="es-PR"/>
        </w:rPr>
      </w:pPr>
      <w:r w:rsidRPr="00D45FC7">
        <w:rPr>
          <w:rFonts w:ascii="Times New Roman" w:hAnsi="Times New Roman" w:cs="Times New Roman"/>
          <w:sz w:val="22"/>
          <w:szCs w:val="22"/>
          <w:lang w:val="es-PR"/>
        </w:rPr>
        <w:t>El</w:t>
      </w:r>
      <w:r w:rsidRPr="00D45FC7">
        <w:rPr>
          <w:rFonts w:ascii="Times New Roman" w:hAnsi="Times New Roman" w:cs="Times New Roman"/>
          <w:b/>
          <w:sz w:val="22"/>
          <w:szCs w:val="22"/>
          <w:lang w:val="es-PR"/>
        </w:rPr>
        <w:t xml:space="preserve"> </w:t>
      </w:r>
      <w:r w:rsidRPr="00D45FC7">
        <w:rPr>
          <w:rFonts w:ascii="Times New Roman" w:hAnsi="Times New Roman" w:cs="Times New Roman"/>
          <w:sz w:val="22"/>
          <w:szCs w:val="22"/>
          <w:lang w:val="es-PR"/>
        </w:rPr>
        <w:t>programa de Ayuda Inmediata para Reiniciar Operaciones Escolares (</w:t>
      </w:r>
      <w:r w:rsidRPr="00D45FC7">
        <w:rPr>
          <w:rFonts w:ascii="Times New Roman" w:hAnsi="Times New Roman" w:cs="Times New Roman"/>
          <w:i/>
          <w:sz w:val="22"/>
          <w:szCs w:val="22"/>
          <w:lang w:val="es-PR"/>
        </w:rPr>
        <w:t>R</w:t>
      </w:r>
      <w:r w:rsidR="008C7FF0" w:rsidRPr="00D45FC7">
        <w:rPr>
          <w:rFonts w:ascii="Times New Roman" w:hAnsi="Times New Roman" w:cs="Times New Roman"/>
          <w:i/>
          <w:sz w:val="22"/>
          <w:szCs w:val="22"/>
          <w:lang w:val="es-PR"/>
        </w:rPr>
        <w:t>estart</w:t>
      </w:r>
      <w:r w:rsidRPr="00D45FC7">
        <w:rPr>
          <w:rFonts w:ascii="Times New Roman" w:hAnsi="Times New Roman" w:cs="Times New Roman"/>
          <w:sz w:val="22"/>
          <w:szCs w:val="22"/>
          <w:lang w:val="es-PR"/>
        </w:rPr>
        <w:t>),</w:t>
      </w:r>
      <w:r w:rsidR="00233AE4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 es una asignación de fondos para responder a los desastres causados por los huracanes Harvey, Irma y María en varios estados y territorios de los Estados Unidos. </w:t>
      </w:r>
      <w:r w:rsidR="0074721A" w:rsidRPr="00D45FC7">
        <w:rPr>
          <w:rFonts w:ascii="Times New Roman" w:hAnsi="Times New Roman" w:cs="Times New Roman"/>
          <w:sz w:val="22"/>
          <w:szCs w:val="22"/>
          <w:lang w:val="es-PR"/>
        </w:rPr>
        <w:t>Dichos fondos fueron</w:t>
      </w:r>
      <w:r w:rsidR="00233AE4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 otorgados por el Gobierno Federal por virtud del “</w:t>
      </w:r>
      <w:r w:rsidR="00233AE4" w:rsidRPr="00D45FC7">
        <w:rPr>
          <w:rFonts w:ascii="Times New Roman" w:hAnsi="Times New Roman" w:cs="Times New Roman"/>
          <w:i/>
          <w:sz w:val="22"/>
          <w:szCs w:val="22"/>
          <w:lang w:val="es-PR"/>
        </w:rPr>
        <w:t>Bipartisan Budget Act</w:t>
      </w:r>
      <w:r w:rsidR="00233AE4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” de 2018, P.L. 115‐123 (9 de febrero de 2018).  Estos </w:t>
      </w:r>
      <w:r w:rsidR="000F3852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fondos federales están destinados para sufragar los gastos incurridos </w:t>
      </w:r>
      <w:r w:rsidR="008C7FF0" w:rsidRPr="00D45FC7">
        <w:rPr>
          <w:rFonts w:ascii="Times New Roman" w:hAnsi="Times New Roman" w:cs="Times New Roman"/>
          <w:sz w:val="22"/>
          <w:szCs w:val="22"/>
          <w:lang w:val="es-PR"/>
        </w:rPr>
        <w:t>para</w:t>
      </w:r>
      <w:r w:rsidR="000F3852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 el reinicio de operaciones, la reapertura de los planteles escolares y la reintegración de los estudiantes en sus escuelas en las zonas que se vieron seriamente afectadas por los estragos ocasionados </w:t>
      </w:r>
      <w:r w:rsidR="008C7FF0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por </w:t>
      </w:r>
      <w:r w:rsidR="000F3852" w:rsidRPr="00D45FC7">
        <w:rPr>
          <w:rFonts w:ascii="Times New Roman" w:hAnsi="Times New Roman" w:cs="Times New Roman"/>
          <w:sz w:val="22"/>
          <w:szCs w:val="22"/>
          <w:lang w:val="es-PR"/>
        </w:rPr>
        <w:t>el desastre</w:t>
      </w:r>
      <w:r w:rsidR="005C0777" w:rsidRPr="00D45FC7">
        <w:rPr>
          <w:rFonts w:ascii="Times New Roman" w:hAnsi="Times New Roman" w:cs="Times New Roman"/>
          <w:sz w:val="22"/>
          <w:szCs w:val="22"/>
          <w:lang w:val="es-PR"/>
        </w:rPr>
        <w:t>, entre otras actividades necesarias para reanudar los servicios educativos.</w:t>
      </w:r>
      <w:r w:rsidR="00FE7555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 </w:t>
      </w:r>
      <w:r w:rsidR="00FA2645" w:rsidRPr="00D45FC7">
        <w:rPr>
          <w:rFonts w:ascii="Times New Roman" w:hAnsi="Times New Roman" w:cs="Times New Roman"/>
          <w:sz w:val="22"/>
          <w:szCs w:val="22"/>
          <w:lang w:val="es-PR"/>
        </w:rPr>
        <w:t>P</w:t>
      </w:r>
      <w:r w:rsidR="00830997" w:rsidRPr="00D45FC7">
        <w:rPr>
          <w:rFonts w:ascii="Times New Roman" w:hAnsi="Times New Roman" w:cs="Times New Roman"/>
          <w:sz w:val="22"/>
          <w:szCs w:val="22"/>
          <w:lang w:val="es-PR"/>
        </w:rPr>
        <w:t>ara</w:t>
      </w:r>
      <w:r w:rsidR="00FA2645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 obtener información adicional puede consultar el </w:t>
      </w:r>
      <w:r w:rsidR="00830997" w:rsidRPr="00D45FC7">
        <w:rPr>
          <w:rFonts w:ascii="Times New Roman" w:hAnsi="Times New Roman" w:cs="Times New Roman"/>
          <w:sz w:val="22"/>
          <w:szCs w:val="22"/>
          <w:lang w:val="es-PR"/>
        </w:rPr>
        <w:t>“</w:t>
      </w:r>
      <w:r w:rsidR="00FA2645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2018 </w:t>
      </w:r>
      <w:r w:rsidR="00FA2645" w:rsidRPr="00D45FC7">
        <w:rPr>
          <w:rFonts w:ascii="Times New Roman" w:hAnsi="Times New Roman" w:cs="Times New Roman"/>
          <w:i/>
          <w:sz w:val="22"/>
          <w:szCs w:val="22"/>
          <w:lang w:val="es-PR"/>
        </w:rPr>
        <w:t>Frequently Asked Questions (FAQs) for the Immediate Aid to Restart School Operations (Restart) Program</w:t>
      </w:r>
      <w:r w:rsidR="00830997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” en el siguiente enlace: </w:t>
      </w:r>
      <w:hyperlink r:id="rId9" w:history="1">
        <w:r w:rsidR="00830997" w:rsidRPr="00D45FC7">
          <w:rPr>
            <w:rStyle w:val="Hyperlink"/>
            <w:rFonts w:ascii="Times New Roman" w:hAnsi="Times New Roman" w:cs="Times New Roman"/>
            <w:sz w:val="22"/>
            <w:szCs w:val="22"/>
            <w:lang w:val="es-PR"/>
          </w:rPr>
          <w:t>https://www2.ed.gov/programs/restart/faq.html</w:t>
        </w:r>
      </w:hyperlink>
    </w:p>
    <w:p w14:paraId="72AA264C" w14:textId="77777777" w:rsidR="00FE7555" w:rsidRPr="00D45FC7" w:rsidRDefault="00FE7555" w:rsidP="005C0777">
      <w:pPr>
        <w:jc w:val="both"/>
        <w:rPr>
          <w:rFonts w:ascii="Times New Roman" w:hAnsi="Times New Roman" w:cs="Times New Roman"/>
          <w:sz w:val="22"/>
          <w:szCs w:val="22"/>
          <w:lang w:val="es-PR"/>
        </w:rPr>
      </w:pPr>
    </w:p>
    <w:p w14:paraId="048C265A" w14:textId="77777777" w:rsidR="00573ED8" w:rsidRPr="00D45FC7" w:rsidRDefault="00573ED8" w:rsidP="007537C5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b/>
          <w:sz w:val="22"/>
          <w:szCs w:val="22"/>
          <w:lang w:val="es-PR"/>
        </w:rPr>
      </w:pPr>
      <w:r w:rsidRPr="00D45FC7">
        <w:rPr>
          <w:rFonts w:ascii="Times New Roman" w:hAnsi="Times New Roman" w:cs="Times New Roman"/>
          <w:b/>
          <w:sz w:val="22"/>
          <w:szCs w:val="22"/>
          <w:lang w:val="es-PR"/>
        </w:rPr>
        <w:t>Propósito de la Guía</w:t>
      </w:r>
    </w:p>
    <w:p w14:paraId="0FA7FE2D" w14:textId="77777777" w:rsidR="000C411D" w:rsidRPr="00D45FC7" w:rsidRDefault="005A575D" w:rsidP="00E2529A">
      <w:pPr>
        <w:jc w:val="both"/>
        <w:rPr>
          <w:rFonts w:ascii="Times New Roman" w:hAnsi="Times New Roman" w:cs="Times New Roman"/>
          <w:sz w:val="22"/>
          <w:szCs w:val="22"/>
          <w:lang w:val="es-PR"/>
        </w:rPr>
      </w:pPr>
      <w:r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Establecer de manera escrita los procesos a seguir por las </w:t>
      </w:r>
      <w:r w:rsidR="00A62B33" w:rsidRPr="00D45FC7">
        <w:rPr>
          <w:rFonts w:ascii="Times New Roman" w:hAnsi="Times New Roman" w:cs="Times New Roman"/>
          <w:sz w:val="22"/>
          <w:szCs w:val="22"/>
          <w:lang w:val="es-PR"/>
        </w:rPr>
        <w:t>áreas que solicita</w:t>
      </w:r>
      <w:r w:rsidR="00BD1FDC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n, </w:t>
      </w:r>
      <w:r w:rsidR="00A62B33" w:rsidRPr="00D45FC7">
        <w:rPr>
          <w:rFonts w:ascii="Times New Roman" w:hAnsi="Times New Roman" w:cs="Times New Roman"/>
          <w:sz w:val="22"/>
          <w:szCs w:val="22"/>
          <w:lang w:val="es-PR"/>
        </w:rPr>
        <w:t>administran</w:t>
      </w:r>
      <w:r w:rsidR="00E2529A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 y autorizan</w:t>
      </w:r>
      <w:r w:rsidR="00A62B33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 los fondos </w:t>
      </w:r>
      <w:r w:rsidR="00A62B33" w:rsidRPr="00D45FC7">
        <w:rPr>
          <w:rFonts w:ascii="Times New Roman" w:hAnsi="Times New Roman" w:cs="Times New Roman"/>
          <w:i/>
          <w:sz w:val="22"/>
          <w:szCs w:val="22"/>
          <w:lang w:val="es-PR"/>
        </w:rPr>
        <w:t>Restart</w:t>
      </w:r>
      <w:r w:rsidR="00E2529A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.  </w:t>
      </w:r>
      <w:r w:rsidR="00076359" w:rsidRPr="00D45FC7">
        <w:rPr>
          <w:rFonts w:ascii="Times New Roman" w:hAnsi="Times New Roman" w:cs="Times New Roman"/>
          <w:sz w:val="22"/>
          <w:szCs w:val="22"/>
          <w:lang w:val="es-PR"/>
        </w:rPr>
        <w:t>Estos son:</w:t>
      </w:r>
    </w:p>
    <w:p w14:paraId="3ACEAFA8" w14:textId="77777777" w:rsidR="00281054" w:rsidRPr="00D45FC7" w:rsidRDefault="00281054" w:rsidP="007537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es-PR"/>
        </w:rPr>
      </w:pPr>
      <w:r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Procedimiento </w:t>
      </w:r>
      <w:r w:rsidR="008B448D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a seguir por </w:t>
      </w:r>
      <w:r w:rsidR="0036697D" w:rsidRPr="00D45FC7">
        <w:rPr>
          <w:rFonts w:ascii="Times New Roman" w:hAnsi="Times New Roman" w:cs="Times New Roman"/>
          <w:sz w:val="22"/>
          <w:szCs w:val="22"/>
          <w:lang w:val="es-PR"/>
        </w:rPr>
        <w:t>las escuelas</w:t>
      </w:r>
      <w:r w:rsidR="009453F4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 públicas y privadas sin fines de lucro</w:t>
      </w:r>
      <w:r w:rsidR="0036697D" w:rsidRPr="00D45FC7">
        <w:rPr>
          <w:rFonts w:ascii="Times New Roman" w:hAnsi="Times New Roman" w:cs="Times New Roman"/>
          <w:sz w:val="22"/>
          <w:szCs w:val="22"/>
          <w:lang w:val="es-PR"/>
        </w:rPr>
        <w:t>, Oficinas Regionales</w:t>
      </w:r>
      <w:r w:rsidR="008C7FF0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 Educativas</w:t>
      </w:r>
      <w:r w:rsidR="0036697D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 (ORE) y oficinas del DEPR </w:t>
      </w:r>
      <w:r w:rsidR="00D6457A" w:rsidRPr="00D45FC7">
        <w:rPr>
          <w:rFonts w:ascii="Times New Roman" w:hAnsi="Times New Roman" w:cs="Times New Roman"/>
          <w:sz w:val="22"/>
          <w:szCs w:val="22"/>
          <w:lang w:val="es-PR"/>
        </w:rPr>
        <w:t>para la solicitud de fondos</w:t>
      </w:r>
      <w:r w:rsidR="00B03940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 </w:t>
      </w:r>
      <w:r w:rsidR="00B03940" w:rsidRPr="00D45FC7">
        <w:rPr>
          <w:rFonts w:ascii="Times New Roman" w:hAnsi="Times New Roman" w:cs="Times New Roman"/>
          <w:i/>
          <w:sz w:val="22"/>
          <w:szCs w:val="22"/>
          <w:lang w:val="es-PR"/>
        </w:rPr>
        <w:t>Restart</w:t>
      </w:r>
      <w:r w:rsidR="00D6457A" w:rsidRPr="00D45FC7">
        <w:rPr>
          <w:rFonts w:ascii="Times New Roman" w:hAnsi="Times New Roman" w:cs="Times New Roman"/>
          <w:sz w:val="22"/>
          <w:szCs w:val="22"/>
          <w:lang w:val="es-PR"/>
        </w:rPr>
        <w:t>.</w:t>
      </w:r>
    </w:p>
    <w:p w14:paraId="2635996C" w14:textId="77777777" w:rsidR="00D6457A" w:rsidRPr="00D45FC7" w:rsidRDefault="00D6457A" w:rsidP="007537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es-PR"/>
        </w:rPr>
      </w:pPr>
      <w:r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Procedimiento </w:t>
      </w:r>
      <w:r w:rsidR="00414E81" w:rsidRPr="00D45FC7">
        <w:rPr>
          <w:rFonts w:ascii="Times New Roman" w:hAnsi="Times New Roman" w:cs="Times New Roman"/>
          <w:sz w:val="22"/>
          <w:szCs w:val="22"/>
          <w:lang w:val="es-PR"/>
        </w:rPr>
        <w:t>que realiza la Secretaría Auxiliar</w:t>
      </w:r>
      <w:r w:rsidR="00994B8B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 de Asuntos Federales (SAAF)</w:t>
      </w:r>
      <w:r w:rsidR="00414E81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 </w:t>
      </w:r>
      <w:r w:rsidR="00C90E88" w:rsidRPr="00D45FC7">
        <w:rPr>
          <w:rFonts w:ascii="Times New Roman" w:hAnsi="Times New Roman" w:cs="Times New Roman"/>
          <w:sz w:val="22"/>
          <w:szCs w:val="22"/>
          <w:lang w:val="es-PR"/>
        </w:rPr>
        <w:t>para evaluar</w:t>
      </w:r>
      <w:r w:rsidR="00975FB7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 </w:t>
      </w:r>
      <w:r w:rsidR="003B1CAB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y autorizar </w:t>
      </w:r>
      <w:r w:rsidR="00975FB7" w:rsidRPr="00D45FC7">
        <w:rPr>
          <w:rFonts w:ascii="Times New Roman" w:hAnsi="Times New Roman" w:cs="Times New Roman"/>
          <w:sz w:val="22"/>
          <w:szCs w:val="22"/>
          <w:lang w:val="es-PR"/>
        </w:rPr>
        <w:t>la solicitud de fondos</w:t>
      </w:r>
      <w:r w:rsidR="00B03940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 </w:t>
      </w:r>
      <w:r w:rsidR="00B03940" w:rsidRPr="00D45FC7">
        <w:rPr>
          <w:rFonts w:ascii="Times New Roman" w:hAnsi="Times New Roman" w:cs="Times New Roman"/>
          <w:i/>
          <w:sz w:val="22"/>
          <w:szCs w:val="22"/>
          <w:lang w:val="es-PR"/>
        </w:rPr>
        <w:t>Restart</w:t>
      </w:r>
      <w:r w:rsidR="00975FB7" w:rsidRPr="00D45FC7">
        <w:rPr>
          <w:rFonts w:ascii="Times New Roman" w:hAnsi="Times New Roman" w:cs="Times New Roman"/>
          <w:sz w:val="22"/>
          <w:szCs w:val="22"/>
          <w:lang w:val="es-PR"/>
        </w:rPr>
        <w:t>.</w:t>
      </w:r>
    </w:p>
    <w:p w14:paraId="714B9275" w14:textId="77777777" w:rsidR="00681B4D" w:rsidRPr="00D45FC7" w:rsidRDefault="00975FB7" w:rsidP="007537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es-PR"/>
        </w:rPr>
      </w:pPr>
      <w:r w:rsidRPr="00D45FC7">
        <w:rPr>
          <w:rFonts w:ascii="Times New Roman" w:hAnsi="Times New Roman" w:cs="Times New Roman"/>
          <w:sz w:val="22"/>
          <w:szCs w:val="22"/>
          <w:lang w:val="es-PR"/>
        </w:rPr>
        <w:t>P</w:t>
      </w:r>
      <w:r w:rsidR="00681B4D" w:rsidRPr="00D45FC7">
        <w:rPr>
          <w:rFonts w:ascii="Times New Roman" w:hAnsi="Times New Roman" w:cs="Times New Roman"/>
          <w:sz w:val="22"/>
          <w:szCs w:val="22"/>
          <w:lang w:val="es-PR"/>
        </w:rPr>
        <w:t>ro</w:t>
      </w:r>
      <w:r w:rsidRPr="00D45FC7">
        <w:rPr>
          <w:rFonts w:ascii="Times New Roman" w:hAnsi="Times New Roman" w:cs="Times New Roman"/>
          <w:sz w:val="22"/>
          <w:szCs w:val="22"/>
          <w:lang w:val="es-PR"/>
        </w:rPr>
        <w:t>cedimiento para el tr</w:t>
      </w:r>
      <w:r w:rsidR="00681B4D" w:rsidRPr="00D45FC7">
        <w:rPr>
          <w:rFonts w:ascii="Times New Roman" w:hAnsi="Times New Roman" w:cs="Times New Roman"/>
          <w:sz w:val="22"/>
          <w:szCs w:val="22"/>
          <w:lang w:val="es-PR"/>
        </w:rPr>
        <w:t>ámite fiscal correspondiente, según la iniciativa a desarrollarse</w:t>
      </w:r>
      <w:r w:rsidR="00B03940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 y su cuantía</w:t>
      </w:r>
      <w:r w:rsidR="00681B4D" w:rsidRPr="00D45FC7">
        <w:rPr>
          <w:rFonts w:ascii="Times New Roman" w:hAnsi="Times New Roman" w:cs="Times New Roman"/>
          <w:sz w:val="22"/>
          <w:szCs w:val="22"/>
          <w:lang w:val="es-PR"/>
        </w:rPr>
        <w:t>.</w:t>
      </w:r>
    </w:p>
    <w:p w14:paraId="7B3E849E" w14:textId="77777777" w:rsidR="00A17407" w:rsidRPr="00D45FC7" w:rsidRDefault="00994B8B" w:rsidP="007537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es-PR"/>
        </w:rPr>
      </w:pPr>
      <w:r w:rsidRPr="00D45FC7">
        <w:rPr>
          <w:rFonts w:ascii="Times New Roman" w:hAnsi="Times New Roman" w:cs="Times New Roman"/>
          <w:sz w:val="22"/>
          <w:szCs w:val="22"/>
          <w:lang w:val="es-PR"/>
        </w:rPr>
        <w:t>Procedimiento que realiza la Secretaría Auxiliar de Asuntos Federales (SAAF)</w:t>
      </w:r>
      <w:r w:rsidR="00C814DC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 para evaluar la adecuacidad </w:t>
      </w:r>
      <w:r w:rsidR="00354D5D" w:rsidRPr="00D45FC7">
        <w:rPr>
          <w:rFonts w:ascii="Times New Roman" w:hAnsi="Times New Roman" w:cs="Times New Roman"/>
          <w:sz w:val="22"/>
          <w:szCs w:val="22"/>
          <w:lang w:val="es-PR"/>
        </w:rPr>
        <w:t>de la documentación que evidencia el proceso.</w:t>
      </w:r>
    </w:p>
    <w:p w14:paraId="287293D1" w14:textId="77777777" w:rsidR="00B63E59" w:rsidRPr="00D45FC7" w:rsidRDefault="00B63E59" w:rsidP="00B63E59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s-PR"/>
        </w:rPr>
      </w:pPr>
    </w:p>
    <w:p w14:paraId="4E9D7A7D" w14:textId="77777777" w:rsidR="00076359" w:rsidRPr="00D45FC7" w:rsidRDefault="00076359" w:rsidP="00B63E59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s-PR"/>
        </w:rPr>
      </w:pPr>
    </w:p>
    <w:p w14:paraId="0A70E4C8" w14:textId="77777777" w:rsidR="00A17407" w:rsidRPr="00D45FC7" w:rsidRDefault="00A17407" w:rsidP="007537C5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b/>
          <w:sz w:val="22"/>
          <w:szCs w:val="22"/>
          <w:lang w:val="es-PR"/>
        </w:rPr>
      </w:pPr>
      <w:r w:rsidRPr="00D45FC7">
        <w:rPr>
          <w:rFonts w:ascii="Times New Roman" w:hAnsi="Times New Roman" w:cs="Times New Roman"/>
          <w:b/>
          <w:sz w:val="22"/>
          <w:szCs w:val="22"/>
          <w:lang w:val="es-PR"/>
        </w:rPr>
        <w:t xml:space="preserve">Aplicabilidad </w:t>
      </w:r>
    </w:p>
    <w:p w14:paraId="28057831" w14:textId="77777777" w:rsidR="0018054D" w:rsidRPr="00D45FC7" w:rsidRDefault="00A17407" w:rsidP="00A17407">
      <w:pPr>
        <w:contextualSpacing/>
        <w:jc w:val="both"/>
        <w:rPr>
          <w:rFonts w:ascii="Times New Roman" w:hAnsi="Times New Roman" w:cs="Times New Roman"/>
          <w:sz w:val="22"/>
          <w:szCs w:val="22"/>
          <w:lang w:val="es-PR"/>
        </w:rPr>
      </w:pPr>
      <w:r w:rsidRPr="00D45FC7">
        <w:rPr>
          <w:rFonts w:ascii="Times New Roman" w:hAnsi="Times New Roman" w:cs="Times New Roman"/>
          <w:sz w:val="22"/>
          <w:szCs w:val="22"/>
          <w:lang w:val="es-PR"/>
        </w:rPr>
        <w:t>Esta Guía de Proce</w:t>
      </w:r>
      <w:r w:rsidR="000408C0" w:rsidRPr="00D45FC7">
        <w:rPr>
          <w:rFonts w:ascii="Times New Roman" w:hAnsi="Times New Roman" w:cs="Times New Roman"/>
          <w:sz w:val="22"/>
          <w:szCs w:val="22"/>
          <w:lang w:val="es-PR"/>
        </w:rPr>
        <w:t>s</w:t>
      </w:r>
      <w:r w:rsidRPr="00D45FC7">
        <w:rPr>
          <w:rFonts w:ascii="Times New Roman" w:hAnsi="Times New Roman" w:cs="Times New Roman"/>
          <w:sz w:val="22"/>
          <w:szCs w:val="22"/>
          <w:lang w:val="es-PR"/>
        </w:rPr>
        <w:t>os Fiscales será utilizad</w:t>
      </w:r>
      <w:r w:rsidR="003B3EB1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a </w:t>
      </w:r>
      <w:r w:rsidR="00E85D54" w:rsidRPr="00D45FC7">
        <w:rPr>
          <w:rFonts w:ascii="Times New Roman" w:hAnsi="Times New Roman" w:cs="Times New Roman"/>
          <w:sz w:val="22"/>
          <w:szCs w:val="22"/>
          <w:lang w:val="es-PR"/>
        </w:rPr>
        <w:t>por las entidades elegibles para recibir fondos del programa “</w:t>
      </w:r>
      <w:r w:rsidR="00E85D54" w:rsidRPr="00D45FC7">
        <w:rPr>
          <w:rFonts w:ascii="Times New Roman" w:hAnsi="Times New Roman" w:cs="Times New Roman"/>
          <w:i/>
          <w:sz w:val="22"/>
          <w:szCs w:val="22"/>
          <w:lang w:val="es-PR"/>
        </w:rPr>
        <w:t>R</w:t>
      </w:r>
      <w:r w:rsidR="002B07E5" w:rsidRPr="00D45FC7">
        <w:rPr>
          <w:rFonts w:ascii="Times New Roman" w:hAnsi="Times New Roman" w:cs="Times New Roman"/>
          <w:i/>
          <w:sz w:val="22"/>
          <w:szCs w:val="22"/>
          <w:lang w:val="es-PR"/>
        </w:rPr>
        <w:t>estart</w:t>
      </w:r>
      <w:r w:rsidR="00E85D54" w:rsidRPr="00D45FC7">
        <w:rPr>
          <w:rFonts w:ascii="Times New Roman" w:hAnsi="Times New Roman" w:cs="Times New Roman"/>
          <w:sz w:val="22"/>
          <w:szCs w:val="22"/>
          <w:lang w:val="es-PR"/>
        </w:rPr>
        <w:t>” en el DEPR,</w:t>
      </w:r>
      <w:r w:rsidR="00EA5FA8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 que </w:t>
      </w:r>
      <w:r w:rsidR="00E85D54" w:rsidRPr="00D45FC7">
        <w:rPr>
          <w:rFonts w:ascii="Times New Roman" w:hAnsi="Times New Roman" w:cs="Times New Roman"/>
          <w:sz w:val="22"/>
          <w:szCs w:val="22"/>
          <w:lang w:val="es-PR"/>
        </w:rPr>
        <w:t>deseen solicitar</w:t>
      </w:r>
      <w:r w:rsidR="00EA5FA8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 </w:t>
      </w:r>
      <w:r w:rsidR="00FF4C81" w:rsidRPr="00D45FC7">
        <w:rPr>
          <w:rFonts w:ascii="Times New Roman" w:hAnsi="Times New Roman" w:cs="Times New Roman"/>
          <w:sz w:val="22"/>
          <w:szCs w:val="22"/>
          <w:lang w:val="es-PR"/>
        </w:rPr>
        <w:t>fondos del programa</w:t>
      </w:r>
      <w:r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 y la Secretaría Auxiliar de Asuntos Federales, encargado de autorizar los fondos del programa “</w:t>
      </w:r>
      <w:r w:rsidRPr="00D45FC7">
        <w:rPr>
          <w:rFonts w:ascii="Times New Roman" w:hAnsi="Times New Roman" w:cs="Times New Roman"/>
          <w:i/>
          <w:sz w:val="22"/>
          <w:szCs w:val="22"/>
          <w:lang w:val="es-PR"/>
        </w:rPr>
        <w:t>R</w:t>
      </w:r>
      <w:r w:rsidR="002B07E5" w:rsidRPr="00D45FC7">
        <w:rPr>
          <w:rFonts w:ascii="Times New Roman" w:hAnsi="Times New Roman" w:cs="Times New Roman"/>
          <w:i/>
          <w:sz w:val="22"/>
          <w:szCs w:val="22"/>
          <w:lang w:val="es-PR"/>
        </w:rPr>
        <w:t>estart</w:t>
      </w:r>
      <w:r w:rsidRPr="00D45FC7">
        <w:rPr>
          <w:rFonts w:ascii="Times New Roman" w:hAnsi="Times New Roman" w:cs="Times New Roman"/>
          <w:sz w:val="22"/>
          <w:szCs w:val="22"/>
          <w:lang w:val="es-PR"/>
        </w:rPr>
        <w:t>” en el DEPR</w:t>
      </w:r>
      <w:r w:rsidR="009453F4"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 conforme a la aprobación del Plan de Trabajo sometido ante la consideración del USDE</w:t>
      </w:r>
      <w:r w:rsidRPr="00D45FC7">
        <w:rPr>
          <w:rFonts w:ascii="Times New Roman" w:hAnsi="Times New Roman" w:cs="Times New Roman"/>
          <w:sz w:val="22"/>
          <w:szCs w:val="22"/>
          <w:lang w:val="es-PR"/>
        </w:rPr>
        <w:t>.</w:t>
      </w:r>
    </w:p>
    <w:p w14:paraId="74E0B7BB" w14:textId="7BE5DC0D" w:rsidR="00C50A60" w:rsidRPr="00967D8C" w:rsidRDefault="00C50A60" w:rsidP="00A17407">
      <w:pPr>
        <w:contextualSpacing/>
        <w:jc w:val="both"/>
        <w:rPr>
          <w:rFonts w:ascii="Times New Roman" w:hAnsi="Times New Roman" w:cs="Times New Roman"/>
          <w:b/>
          <w:sz w:val="22"/>
          <w:szCs w:val="22"/>
          <w:lang w:val="es-PR"/>
        </w:rPr>
      </w:pPr>
    </w:p>
    <w:p w14:paraId="3C37D868" w14:textId="4575E705" w:rsidR="00495389" w:rsidRPr="00967D8C" w:rsidRDefault="00495389" w:rsidP="00A17407">
      <w:pPr>
        <w:contextualSpacing/>
        <w:jc w:val="both"/>
        <w:rPr>
          <w:rFonts w:ascii="Times New Roman" w:hAnsi="Times New Roman" w:cs="Times New Roman"/>
          <w:b/>
          <w:sz w:val="22"/>
          <w:szCs w:val="22"/>
          <w:lang w:val="es-PR"/>
        </w:rPr>
      </w:pPr>
    </w:p>
    <w:p w14:paraId="572C9178" w14:textId="77777777" w:rsidR="00495389" w:rsidRPr="00D45FC7" w:rsidRDefault="00495389" w:rsidP="00A17407">
      <w:pPr>
        <w:contextualSpacing/>
        <w:jc w:val="both"/>
        <w:rPr>
          <w:rFonts w:ascii="Times New Roman" w:hAnsi="Times New Roman" w:cs="Times New Roman"/>
          <w:b/>
          <w:sz w:val="22"/>
          <w:szCs w:val="22"/>
          <w:lang w:val="es-PR"/>
        </w:rPr>
      </w:pPr>
    </w:p>
    <w:p w14:paraId="6BF56928" w14:textId="77777777" w:rsidR="00F71E6F" w:rsidRPr="00D45FC7" w:rsidRDefault="0018054D" w:rsidP="007537C5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b/>
          <w:sz w:val="22"/>
          <w:szCs w:val="22"/>
          <w:lang w:val="es-PR"/>
        </w:rPr>
      </w:pPr>
      <w:r w:rsidRPr="00D45FC7">
        <w:rPr>
          <w:rFonts w:ascii="Times New Roman" w:hAnsi="Times New Roman" w:cs="Times New Roman"/>
          <w:b/>
          <w:sz w:val="22"/>
          <w:szCs w:val="22"/>
          <w:lang w:val="es-PR"/>
        </w:rPr>
        <w:lastRenderedPageBreak/>
        <w:t>Entidades Elegibles</w:t>
      </w:r>
    </w:p>
    <w:p w14:paraId="40D016D9" w14:textId="77777777" w:rsidR="000C411D" w:rsidRPr="00D45FC7" w:rsidRDefault="000C411D" w:rsidP="000C411D">
      <w:pPr>
        <w:pStyle w:val="ListParagraph"/>
        <w:ind w:left="360"/>
        <w:jc w:val="both"/>
        <w:rPr>
          <w:rFonts w:ascii="Times New Roman" w:hAnsi="Times New Roman" w:cs="Times New Roman"/>
          <w:b/>
          <w:sz w:val="22"/>
          <w:szCs w:val="22"/>
          <w:lang w:val="es-PR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5400"/>
      </w:tblGrid>
      <w:tr w:rsidR="00F71E6F" w:rsidRPr="008F75CF" w14:paraId="510BC7D4" w14:textId="77777777" w:rsidTr="00A064F1">
        <w:tc>
          <w:tcPr>
            <w:tcW w:w="4585" w:type="dxa"/>
          </w:tcPr>
          <w:p w14:paraId="0A094B4B" w14:textId="77777777" w:rsidR="00A064F1" w:rsidRPr="00D45FC7" w:rsidRDefault="00A064F1" w:rsidP="007537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Oficina del Secretario</w:t>
            </w:r>
          </w:p>
          <w:p w14:paraId="219A2229" w14:textId="77777777" w:rsidR="00F71E6F" w:rsidRPr="00D45FC7" w:rsidRDefault="00F71E6F" w:rsidP="007537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Secretarías</w:t>
            </w:r>
            <w:r w:rsidR="00A01C73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Auxiliares</w:t>
            </w:r>
          </w:p>
          <w:p w14:paraId="311D554A" w14:textId="77777777" w:rsidR="00F71E6F" w:rsidRPr="00D45FC7" w:rsidRDefault="00494D51" w:rsidP="007537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Subsecretarías</w:t>
            </w:r>
            <w:r w:rsidR="00A01C73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Auxiliares</w:t>
            </w:r>
          </w:p>
          <w:p w14:paraId="4D5DBBEB" w14:textId="77777777" w:rsidR="00A01C73" w:rsidRPr="00D45FC7" w:rsidRDefault="00A01C73" w:rsidP="007537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Oficinas</w:t>
            </w:r>
            <w:r w:rsidR="009453F4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del DEPR</w:t>
            </w:r>
          </w:p>
          <w:p w14:paraId="1FFEFD84" w14:textId="77777777" w:rsidR="00221F9E" w:rsidRPr="00D45FC7" w:rsidRDefault="00221F9E" w:rsidP="007537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Divisiones del DEPR</w:t>
            </w:r>
          </w:p>
          <w:p w14:paraId="14506DF3" w14:textId="77777777" w:rsidR="00A01C73" w:rsidRPr="00D45FC7" w:rsidRDefault="00A01C73" w:rsidP="009453F4">
            <w:pPr>
              <w:pStyle w:val="ListParagraph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5400" w:type="dxa"/>
          </w:tcPr>
          <w:p w14:paraId="6C96B135" w14:textId="77777777" w:rsidR="009453F4" w:rsidRPr="00D45FC7" w:rsidRDefault="009453F4" w:rsidP="009453F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Programas a Nivel Central del DEPR</w:t>
            </w:r>
          </w:p>
          <w:p w14:paraId="6C19255A" w14:textId="77777777" w:rsidR="00F71E6F" w:rsidRPr="00D45FC7" w:rsidRDefault="00A064F1" w:rsidP="007537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Oficinas Regionales Educativas (ORE)</w:t>
            </w:r>
          </w:p>
          <w:p w14:paraId="1BBAEB81" w14:textId="77777777" w:rsidR="00A064F1" w:rsidRPr="00D45FC7" w:rsidRDefault="00A064F1" w:rsidP="007537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Escuelas públicas</w:t>
            </w:r>
          </w:p>
          <w:p w14:paraId="6CE96670" w14:textId="77777777" w:rsidR="00A064F1" w:rsidRPr="00D45FC7" w:rsidRDefault="00A064F1" w:rsidP="007537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Escuelas privadas sin fines de lucro</w:t>
            </w:r>
          </w:p>
        </w:tc>
      </w:tr>
    </w:tbl>
    <w:p w14:paraId="4BFDF4A5" w14:textId="77777777" w:rsidR="00A74D07" w:rsidRPr="00D45FC7" w:rsidRDefault="00A74D07" w:rsidP="00E913A5">
      <w:pPr>
        <w:jc w:val="both"/>
        <w:rPr>
          <w:rFonts w:ascii="Times New Roman" w:hAnsi="Times New Roman" w:cs="Times New Roman"/>
          <w:b/>
          <w:sz w:val="22"/>
          <w:szCs w:val="22"/>
          <w:lang w:val="es-PR"/>
        </w:rPr>
      </w:pPr>
    </w:p>
    <w:p w14:paraId="689F359B" w14:textId="77777777" w:rsidR="00632BBC" w:rsidRPr="00D45FC7" w:rsidRDefault="00EF6FA9" w:rsidP="007537C5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b/>
          <w:sz w:val="22"/>
          <w:szCs w:val="22"/>
          <w:lang w:val="es-PR"/>
        </w:rPr>
      </w:pPr>
      <w:r w:rsidRPr="00D45FC7">
        <w:rPr>
          <w:rFonts w:ascii="Times New Roman" w:hAnsi="Times New Roman" w:cs="Times New Roman"/>
          <w:b/>
          <w:sz w:val="22"/>
          <w:szCs w:val="22"/>
          <w:lang w:val="es-PR"/>
        </w:rPr>
        <w:t xml:space="preserve">Procesos </w:t>
      </w:r>
      <w:r w:rsidR="00632BBC" w:rsidRPr="00D45FC7">
        <w:rPr>
          <w:rFonts w:ascii="Times New Roman" w:hAnsi="Times New Roman" w:cs="Times New Roman"/>
          <w:b/>
          <w:sz w:val="22"/>
          <w:szCs w:val="22"/>
          <w:lang w:val="es-PR"/>
        </w:rPr>
        <w:t>fiscales aplicables a las entidades elegibles</w:t>
      </w:r>
      <w:r w:rsidR="00632BBC" w:rsidRPr="00D45FC7">
        <w:rPr>
          <w:rFonts w:ascii="Times New Roman" w:hAnsi="Times New Roman" w:cs="Times New Roman"/>
          <w:sz w:val="22"/>
          <w:szCs w:val="22"/>
        </w:rPr>
        <w:footnoteReference w:id="1"/>
      </w:r>
    </w:p>
    <w:p w14:paraId="3ED86914" w14:textId="77777777" w:rsidR="0039296F" w:rsidRPr="00D45FC7" w:rsidRDefault="0039296F" w:rsidP="0039296F">
      <w:pPr>
        <w:pStyle w:val="ListParagraph"/>
        <w:ind w:left="360"/>
        <w:jc w:val="both"/>
        <w:rPr>
          <w:rFonts w:ascii="Times New Roman" w:hAnsi="Times New Roman" w:cs="Times New Roman"/>
          <w:b/>
          <w:sz w:val="22"/>
          <w:szCs w:val="22"/>
          <w:lang w:val="es-PR"/>
        </w:rPr>
      </w:pPr>
    </w:p>
    <w:p w14:paraId="0F440214" w14:textId="63BE9E5C" w:rsidR="00410E70" w:rsidRPr="00D45FC7" w:rsidRDefault="003655CC" w:rsidP="00410E70">
      <w:pPr>
        <w:pStyle w:val="ListParagraph"/>
        <w:ind w:left="900" w:hanging="540"/>
        <w:jc w:val="both"/>
        <w:rPr>
          <w:rFonts w:ascii="Times New Roman" w:hAnsi="Times New Roman" w:cs="Times New Roman"/>
          <w:b/>
          <w:sz w:val="22"/>
          <w:szCs w:val="22"/>
          <w:lang w:val="es-PR"/>
        </w:rPr>
      </w:pPr>
      <w:r w:rsidRPr="00D45FC7">
        <w:rPr>
          <w:rFonts w:ascii="Times New Roman" w:hAnsi="Times New Roman" w:cs="Times New Roman"/>
          <w:b/>
          <w:sz w:val="22"/>
          <w:szCs w:val="22"/>
          <w:lang w:val="es-PR"/>
        </w:rPr>
        <w:t xml:space="preserve">E.1. </w:t>
      </w:r>
      <w:r w:rsidR="00ED3206" w:rsidRPr="00D45FC7">
        <w:rPr>
          <w:rFonts w:ascii="Times New Roman" w:hAnsi="Times New Roman" w:cs="Times New Roman"/>
          <w:b/>
          <w:sz w:val="22"/>
          <w:szCs w:val="22"/>
          <w:lang w:val="es-PR"/>
        </w:rPr>
        <w:t>Procesos de solicitud, evaluación de solicitud, autorización de fondos y compra de bienes o</w:t>
      </w:r>
      <w:r w:rsidR="00A06BC8" w:rsidRPr="00D45FC7">
        <w:rPr>
          <w:rFonts w:ascii="Times New Roman" w:hAnsi="Times New Roman" w:cs="Times New Roman"/>
          <w:b/>
          <w:sz w:val="22"/>
          <w:szCs w:val="22"/>
          <w:lang w:val="es-PR"/>
        </w:rPr>
        <w:t xml:space="preserve"> </w:t>
      </w:r>
      <w:r w:rsidR="00426433" w:rsidRPr="00D45FC7">
        <w:rPr>
          <w:rFonts w:ascii="Times New Roman" w:hAnsi="Times New Roman" w:cs="Times New Roman"/>
          <w:b/>
          <w:sz w:val="22"/>
          <w:szCs w:val="22"/>
          <w:lang w:val="es-PR"/>
        </w:rPr>
        <w:t>servicios</w:t>
      </w:r>
      <w:r w:rsidR="009923D6" w:rsidRPr="00D45FC7">
        <w:rPr>
          <w:rFonts w:ascii="Times New Roman" w:hAnsi="Times New Roman" w:cs="Times New Roman"/>
          <w:b/>
          <w:sz w:val="22"/>
          <w:szCs w:val="22"/>
          <w:lang w:val="es-PR"/>
        </w:rPr>
        <w:t xml:space="preserve"> no personales</w:t>
      </w:r>
      <w:r w:rsidR="00394BF7" w:rsidRPr="00D45FC7">
        <w:rPr>
          <w:rFonts w:ascii="Times New Roman" w:hAnsi="Times New Roman" w:cs="Times New Roman"/>
          <w:b/>
          <w:sz w:val="22"/>
          <w:szCs w:val="22"/>
          <w:lang w:val="es-P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5D2BBB" w:rsidRPr="00967D8C" w14:paraId="5985FAF5" w14:textId="77777777" w:rsidTr="00D45FC7">
        <w:trPr>
          <w:tblHeader/>
        </w:trPr>
        <w:tc>
          <w:tcPr>
            <w:tcW w:w="2335" w:type="dxa"/>
            <w:tcBorders>
              <w:top w:val="nil"/>
            </w:tcBorders>
            <w:shd w:val="clear" w:color="auto" w:fill="31C9BB"/>
          </w:tcPr>
          <w:p w14:paraId="3F107CA0" w14:textId="77777777" w:rsidR="005D2BBB" w:rsidRPr="00D45FC7" w:rsidRDefault="005D2BBB" w:rsidP="0075067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</w:pPr>
          </w:p>
          <w:p w14:paraId="7689EB46" w14:textId="1650EED4" w:rsidR="005D2BBB" w:rsidRPr="00D45FC7" w:rsidRDefault="005D2BBB" w:rsidP="0075067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  <w:t>ÁREA</w:t>
            </w:r>
            <w:r w:rsidR="00DD30A2" w:rsidRPr="00967D8C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  <w:t xml:space="preserve"> ENCARGADA</w:t>
            </w:r>
          </w:p>
        </w:tc>
        <w:tc>
          <w:tcPr>
            <w:tcW w:w="7015" w:type="dxa"/>
            <w:tcBorders>
              <w:top w:val="nil"/>
            </w:tcBorders>
            <w:shd w:val="clear" w:color="auto" w:fill="31C9BB"/>
          </w:tcPr>
          <w:p w14:paraId="2413E4E0" w14:textId="77777777" w:rsidR="005D2BBB" w:rsidRPr="00D45FC7" w:rsidRDefault="005D2BBB" w:rsidP="00750674">
            <w:pPr>
              <w:pStyle w:val="ListParagraph"/>
              <w:ind w:left="42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</w:pPr>
          </w:p>
          <w:p w14:paraId="2A403660" w14:textId="77777777" w:rsidR="005D2BBB" w:rsidRPr="00D45FC7" w:rsidRDefault="005D2BBB" w:rsidP="00750674">
            <w:pPr>
              <w:pStyle w:val="ListParagraph"/>
              <w:ind w:left="42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  <w:t>PROCESO</w:t>
            </w:r>
          </w:p>
          <w:p w14:paraId="7C72C1E9" w14:textId="77777777" w:rsidR="005D2BBB" w:rsidRPr="00D45FC7" w:rsidRDefault="005D2BBB" w:rsidP="00750674">
            <w:pPr>
              <w:pStyle w:val="ListParagraph"/>
              <w:ind w:left="42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</w:pPr>
          </w:p>
        </w:tc>
      </w:tr>
      <w:tr w:rsidR="005D2BBB" w:rsidRPr="00967D8C" w14:paraId="72C4A297" w14:textId="77777777" w:rsidTr="00D45FC7">
        <w:tc>
          <w:tcPr>
            <w:tcW w:w="2335" w:type="dxa"/>
            <w:vMerge w:val="restart"/>
            <w:shd w:val="clear" w:color="auto" w:fill="F2F2F2" w:themeFill="background1" w:themeFillShade="F2"/>
          </w:tcPr>
          <w:p w14:paraId="03F977D4" w14:textId="77777777" w:rsidR="005D2BBB" w:rsidRPr="00D45FC7" w:rsidRDefault="005D2BBB" w:rsidP="007506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Entidad elegible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1476A5EF" w14:textId="22CE1028" w:rsidR="005D2BBB" w:rsidRPr="00D45FC7" w:rsidRDefault="005D2BBB" w:rsidP="007537C5">
            <w:pPr>
              <w:pStyle w:val="ListParagraph"/>
              <w:numPr>
                <w:ilvl w:val="0"/>
                <w:numId w:val="4"/>
              </w:numPr>
              <w:ind w:left="435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Realiza un </w:t>
            </w:r>
            <w:r w:rsidR="00FE3251"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estudio de necesidades</w:t>
            </w:r>
            <w:r w:rsidR="00FE3251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en el que se presenten las necesidades individuales surgidas luego del paso</w:t>
            </w:r>
            <w:r w:rsidR="00906F66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por el país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de los huracanes Irma y María. Estas necesidades deben presentarse de manera específica.</w:t>
            </w:r>
          </w:p>
          <w:p w14:paraId="26C871DB" w14:textId="77777777" w:rsidR="005D2BBB" w:rsidRPr="00D45FC7" w:rsidRDefault="005D2BBB" w:rsidP="00750674">
            <w:pPr>
              <w:pStyle w:val="ListParagraph"/>
              <w:ind w:left="42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5D2BBB" w:rsidRPr="008F75CF" w14:paraId="2E545D5B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7C9E785B" w14:textId="77777777" w:rsidR="005D2BBB" w:rsidRPr="00D45FC7" w:rsidRDefault="005D2BBB" w:rsidP="0075067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667C44DA" w14:textId="55FA7B1A" w:rsidR="005D2BBB" w:rsidRPr="00D45FC7" w:rsidRDefault="005D2BBB" w:rsidP="007537C5">
            <w:pPr>
              <w:pStyle w:val="ListParagraph"/>
              <w:numPr>
                <w:ilvl w:val="0"/>
                <w:numId w:val="4"/>
              </w:numPr>
              <w:ind w:left="42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Desarrolla un </w:t>
            </w: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Plan de Trabajo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en el que se detallen las necesidades en orden de prioridad y la manera en que estas pueden ser atendidas de forma eficiente.</w:t>
            </w:r>
            <w:r w:rsidR="00FE3251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Además, describa las distintas etapas y proyecciones de tiempo en la que proponen desarrollar la iniciativa.</w:t>
            </w:r>
          </w:p>
          <w:p w14:paraId="486A3A88" w14:textId="77777777" w:rsidR="005D2BBB" w:rsidRPr="00D45FC7" w:rsidRDefault="005D2BBB" w:rsidP="0075067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</w:p>
        </w:tc>
      </w:tr>
      <w:tr w:rsidR="005D2BBB" w:rsidRPr="008F75CF" w14:paraId="53436E5E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758E3FC0" w14:textId="77777777" w:rsidR="005D2BBB" w:rsidRPr="00D45FC7" w:rsidRDefault="005D2BBB" w:rsidP="0075067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4B2C35F6" w14:textId="71159490" w:rsidR="00FE3251" w:rsidRPr="00D45FC7" w:rsidRDefault="005D2BBB" w:rsidP="00D45FC7">
            <w:pPr>
              <w:pStyle w:val="ListParagraph"/>
              <w:numPr>
                <w:ilvl w:val="0"/>
                <w:numId w:val="4"/>
              </w:numPr>
              <w:ind w:left="42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Realiza un estimado de costo de los bienes o servicios que desea adquirir. </w:t>
            </w:r>
            <w:r w:rsidR="00FE3251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El estimado de costos puede ser provisto por un suplidor del bien o servicio</w:t>
            </w:r>
            <w:r w:rsidR="002F3C28" w:rsidRPr="00967D8C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,</w:t>
            </w:r>
            <w:r w:rsidR="00FE3251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presentando una cotización o evidencia del valor en el mercado del bien o servicio solicitado.</w:t>
            </w:r>
          </w:p>
          <w:p w14:paraId="71E3CC94" w14:textId="77777777" w:rsidR="00FE3251" w:rsidRPr="00D45FC7" w:rsidRDefault="00FE3251" w:rsidP="00D45FC7">
            <w:pPr>
              <w:pStyle w:val="ListParagraph"/>
              <w:ind w:left="42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7E30516C" w14:textId="77777777" w:rsidR="00850A70" w:rsidRPr="00D45FC7" w:rsidRDefault="00850A70" w:rsidP="00850A7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1EB0988B" w14:textId="77777777" w:rsidR="00850A70" w:rsidRPr="00D45FC7" w:rsidRDefault="00850A70" w:rsidP="00850A70">
            <w:pPr>
              <w:ind w:left="43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PR"/>
              </w:rPr>
              <w:t>NOTA:</w:t>
            </w:r>
            <w:r w:rsidRPr="00D45FC7"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  <w:t xml:space="preserve">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Esta cotización no sustituye las gestiones que lleve a cabo la Oficina de Compras del DEPR.</w:t>
            </w:r>
          </w:p>
          <w:p w14:paraId="77D8CD28" w14:textId="77777777" w:rsidR="005D2BBB" w:rsidRPr="00D45FC7" w:rsidRDefault="005D2BBB" w:rsidP="00750674">
            <w:pPr>
              <w:pStyle w:val="ListParagraph"/>
              <w:ind w:left="42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5D2BBB" w:rsidRPr="008F75CF" w14:paraId="7F252A76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5CEDE948" w14:textId="77777777" w:rsidR="005D2BBB" w:rsidRPr="00D45FC7" w:rsidRDefault="005D2BBB" w:rsidP="0075067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2E1B66E5" w14:textId="77777777" w:rsidR="005D2BBB" w:rsidRPr="00D45FC7" w:rsidRDefault="005D2BBB" w:rsidP="007537C5">
            <w:pPr>
              <w:pStyle w:val="ListParagraph"/>
              <w:numPr>
                <w:ilvl w:val="0"/>
                <w:numId w:val="4"/>
              </w:numPr>
              <w:ind w:left="42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Determina si las necesidades identificadas son actividades permitidas por el </w:t>
            </w:r>
            <w:r w:rsidR="00613ACA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P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rograma 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R</w:t>
            </w:r>
            <w:r w:rsidR="00613ACA"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estart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e incluidas en las iniciativas presentadas en el “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PRDE Restart Funding</w:t>
            </w:r>
            <w:r w:rsidR="00613ACA"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 xml:space="preserve"> Plan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”.  </w:t>
            </w:r>
          </w:p>
          <w:p w14:paraId="6C471CB5" w14:textId="77777777" w:rsidR="005D2BBB" w:rsidRPr="00D45FC7" w:rsidRDefault="005D2BBB" w:rsidP="0075067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</w:p>
        </w:tc>
      </w:tr>
      <w:tr w:rsidR="005D2BBB" w:rsidRPr="008F75CF" w14:paraId="3B17BC6B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4FDAE17C" w14:textId="77777777" w:rsidR="005D2BBB" w:rsidRPr="00D45FC7" w:rsidRDefault="005D2BBB" w:rsidP="0075067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1B092C30" w14:textId="68BF4DDE" w:rsidR="005D2BBB" w:rsidRPr="00D45FC7" w:rsidRDefault="005D2BBB" w:rsidP="007537C5">
            <w:pPr>
              <w:pStyle w:val="ListParagraph"/>
              <w:numPr>
                <w:ilvl w:val="0"/>
                <w:numId w:val="4"/>
              </w:numPr>
              <w:ind w:left="43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Somete una </w:t>
            </w:r>
            <w:r w:rsidR="008927C9"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S</w:t>
            </w: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 xml:space="preserve">olicitud de </w:t>
            </w:r>
            <w:r w:rsidR="008927C9"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A</w:t>
            </w: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 xml:space="preserve">utorización de </w:t>
            </w:r>
            <w:r w:rsidR="008927C9"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F</w:t>
            </w: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ondos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</w:t>
            </w:r>
            <w:r w:rsidR="00EB33DE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a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l</w:t>
            </w:r>
            <w:r w:rsidR="00EB33DE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Coordinador del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</w:t>
            </w:r>
            <w:r w:rsidR="00EB33DE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P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rograma “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R</w:t>
            </w:r>
            <w:r w:rsidR="005E4A67"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estart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” </w:t>
            </w:r>
            <w:r w:rsidR="0094391E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en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la Secretaría Auxiliar de Asuntos Federales (SAAF).  Esta deberá ser en forma de </w:t>
            </w:r>
            <w:r w:rsidRPr="00D45FC7"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  <w:t>memorando justificativo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e incluir los siguientes requisitos:</w:t>
            </w:r>
          </w:p>
          <w:p w14:paraId="49F0F49E" w14:textId="77777777" w:rsidR="00FE5C35" w:rsidRPr="00D45FC7" w:rsidRDefault="00FE5C35" w:rsidP="00FE5C35">
            <w:pPr>
              <w:pStyle w:val="ListParagraph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3BE540AB" w14:textId="77777777" w:rsidR="002E4663" w:rsidRPr="00D45FC7" w:rsidRDefault="002E4663" w:rsidP="007537C5">
            <w:pPr>
              <w:pStyle w:val="ListParagraph"/>
              <w:numPr>
                <w:ilvl w:val="1"/>
                <w:numId w:val="4"/>
              </w:numPr>
              <w:ind w:left="115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PR"/>
              </w:rPr>
              <w:lastRenderedPageBreak/>
              <w:t xml:space="preserve">Resultado del desastre: </w:t>
            </w:r>
            <w:r w:rsidRPr="00D45FC7">
              <w:rPr>
                <w:rFonts w:ascii="Times New Roman" w:eastAsia="Times New Roman" w:hAnsi="Times New Roman" w:cs="Times New Roman"/>
                <w:sz w:val="22"/>
                <w:szCs w:val="22"/>
                <w:lang w:val="es-PR"/>
              </w:rPr>
              <w:t xml:space="preserve">enmarque su justificación en función del propósito del </w:t>
            </w:r>
            <w:r w:rsidR="00B25FE3" w:rsidRPr="00D45FC7">
              <w:rPr>
                <w:rFonts w:ascii="Times New Roman" w:eastAsia="Times New Roman" w:hAnsi="Times New Roman" w:cs="Times New Roman"/>
                <w:sz w:val="22"/>
                <w:szCs w:val="22"/>
                <w:lang w:val="es-PR"/>
              </w:rPr>
              <w:t>P</w:t>
            </w:r>
            <w:r w:rsidRPr="00D45FC7">
              <w:rPr>
                <w:rFonts w:ascii="Times New Roman" w:eastAsia="Times New Roman" w:hAnsi="Times New Roman" w:cs="Times New Roman"/>
                <w:sz w:val="22"/>
                <w:szCs w:val="22"/>
                <w:lang w:val="es-PR"/>
              </w:rPr>
              <w:t xml:space="preserve">rograma </w:t>
            </w:r>
            <w:r w:rsidRPr="00D45FC7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s-PR"/>
              </w:rPr>
              <w:t>R</w:t>
            </w:r>
            <w:r w:rsidR="00B25FE3" w:rsidRPr="00D45FC7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s-PR"/>
              </w:rPr>
              <w:t>estart</w:t>
            </w:r>
            <w:r w:rsidRPr="00D45FC7">
              <w:rPr>
                <w:rFonts w:ascii="Times New Roman" w:eastAsia="Times New Roman" w:hAnsi="Times New Roman" w:cs="Times New Roman"/>
                <w:sz w:val="22"/>
                <w:szCs w:val="22"/>
                <w:lang w:val="es-PR"/>
              </w:rPr>
              <w:t xml:space="preserve"> “relacionadas con actividades para el reinicio de operaciones, la reapertura y la reinscripción de estudiantes en escuelas primarias y secundarias”; la entidad elegible que solicita </w:t>
            </w:r>
            <w:r w:rsidR="00850A70" w:rsidRPr="00D45FC7">
              <w:rPr>
                <w:rFonts w:ascii="Times New Roman" w:eastAsia="Times New Roman" w:hAnsi="Times New Roman" w:cs="Times New Roman"/>
                <w:sz w:val="22"/>
                <w:szCs w:val="22"/>
                <w:lang w:val="es-PR"/>
              </w:rPr>
              <w:t xml:space="preserve">tiene </w:t>
            </w:r>
            <w:r w:rsidRPr="00D45FC7">
              <w:rPr>
                <w:rFonts w:ascii="Times New Roman" w:eastAsia="Times New Roman" w:hAnsi="Times New Roman" w:cs="Times New Roman"/>
                <w:sz w:val="22"/>
                <w:szCs w:val="22"/>
                <w:lang w:val="es-PR"/>
              </w:rPr>
              <w:t>demostrar que la actividad propuesta es resultado del desastre.</w:t>
            </w:r>
          </w:p>
          <w:p w14:paraId="64EEAFD8" w14:textId="77777777" w:rsidR="000D5E6F" w:rsidRPr="00D45FC7" w:rsidRDefault="000D5E6F" w:rsidP="000D5E6F">
            <w:pPr>
              <w:pStyle w:val="ListParagraph"/>
              <w:ind w:left="115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PR"/>
              </w:rPr>
            </w:pPr>
          </w:p>
          <w:p w14:paraId="33DCD580" w14:textId="77777777" w:rsidR="002E4663" w:rsidRPr="00D45FC7" w:rsidRDefault="002E4663" w:rsidP="007537C5">
            <w:pPr>
              <w:pStyle w:val="ListParagraph"/>
              <w:numPr>
                <w:ilvl w:val="1"/>
                <w:numId w:val="4"/>
              </w:numPr>
              <w:ind w:left="115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PR"/>
              </w:rPr>
              <w:t>Costos razonables y necesarios:</w:t>
            </w:r>
            <w:r w:rsidRPr="00D45FC7">
              <w:rPr>
                <w:rFonts w:ascii="Times New Roman" w:eastAsia="Times New Roman" w:hAnsi="Times New Roman" w:cs="Times New Roman"/>
                <w:sz w:val="22"/>
                <w:szCs w:val="22"/>
                <w:lang w:val="es-PR"/>
              </w:rPr>
              <w:t xml:space="preserve">  considere los principios de costos, incluso si los costos son razonables y necesarios. Además, el costo de una actividad debe cumplir con los Principios de Costos en el 2 CFR Parte 200, Subparte E (por ejemplo, los costos deben ser “necesarios y razonables” para una administración adecuada y eficiente del Programa </w:t>
            </w:r>
            <w:r w:rsidRPr="00D45FC7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s-PR"/>
              </w:rPr>
              <w:t>R</w:t>
            </w:r>
            <w:r w:rsidR="00B25FE3" w:rsidRPr="00D45FC7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s-PR"/>
              </w:rPr>
              <w:t>estart</w:t>
            </w:r>
            <w:r w:rsidRPr="00D45FC7">
              <w:rPr>
                <w:rFonts w:ascii="Times New Roman" w:eastAsia="Times New Roman" w:hAnsi="Times New Roman" w:cs="Times New Roman"/>
                <w:sz w:val="22"/>
                <w:szCs w:val="22"/>
                <w:lang w:val="es-PR"/>
              </w:rPr>
              <w:t>, 2 CFR §200.403).</w:t>
            </w:r>
          </w:p>
          <w:p w14:paraId="39F755C9" w14:textId="77777777" w:rsidR="000D5E6F" w:rsidRPr="00D45FC7" w:rsidRDefault="000D5E6F" w:rsidP="000D5E6F">
            <w:pPr>
              <w:pStyle w:val="ListParagraph"/>
              <w:ind w:left="115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PR"/>
              </w:rPr>
            </w:pPr>
          </w:p>
          <w:p w14:paraId="60A2C208" w14:textId="77777777" w:rsidR="008A0E0D" w:rsidRPr="00D45FC7" w:rsidRDefault="002E4663" w:rsidP="007537C5">
            <w:pPr>
              <w:pStyle w:val="ListParagraph"/>
              <w:numPr>
                <w:ilvl w:val="1"/>
                <w:numId w:val="4"/>
              </w:numPr>
              <w:ind w:left="115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PR"/>
              </w:rPr>
              <w:t>Uso permitido de los fondos:</w:t>
            </w:r>
            <w:r w:rsidRPr="00D45FC7">
              <w:rPr>
                <w:rFonts w:ascii="Times New Roman" w:eastAsia="Times New Roman" w:hAnsi="Times New Roman" w:cs="Times New Roman"/>
                <w:sz w:val="22"/>
                <w:szCs w:val="22"/>
                <w:lang w:val="es-PR"/>
              </w:rPr>
              <w:t xml:space="preserve"> aunque las preguntas frecuentes en el </w:t>
            </w:r>
            <w:r w:rsidRPr="00D45FC7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s-PR"/>
              </w:rPr>
              <w:t xml:space="preserve">FAQ’s </w:t>
            </w:r>
            <w:r w:rsidRPr="00F662E0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es-PR"/>
              </w:rPr>
              <w:t>for</w:t>
            </w:r>
            <w:r w:rsidRPr="00D45FC7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s-PR"/>
              </w:rPr>
              <w:t xml:space="preserve"> </w:t>
            </w:r>
            <w:r w:rsidR="00B25FE3" w:rsidRPr="00D45FC7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s-PR"/>
              </w:rPr>
              <w:t>Restart</w:t>
            </w:r>
            <w:r w:rsidR="00B25FE3" w:rsidRPr="00D45FC7">
              <w:rPr>
                <w:rFonts w:ascii="Times New Roman" w:eastAsia="Times New Roman" w:hAnsi="Times New Roman" w:cs="Times New Roman"/>
                <w:sz w:val="22"/>
                <w:szCs w:val="22"/>
                <w:lang w:val="es-PR"/>
              </w:rPr>
              <w:t xml:space="preserve"> </w:t>
            </w:r>
            <w:r w:rsidRPr="00D45FC7">
              <w:rPr>
                <w:rFonts w:ascii="Times New Roman" w:eastAsia="Times New Roman" w:hAnsi="Times New Roman" w:cs="Times New Roman"/>
                <w:sz w:val="22"/>
                <w:szCs w:val="22"/>
                <w:lang w:val="es-PR"/>
              </w:rPr>
              <w:t xml:space="preserve">proporcionan una muestra de las actividades que podrían considerarse para su uso con los fondos </w:t>
            </w:r>
            <w:r w:rsidRPr="00D45FC7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s-PR"/>
              </w:rPr>
              <w:t>R</w:t>
            </w:r>
            <w:r w:rsidR="00B25FE3" w:rsidRPr="00D45FC7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s-PR"/>
              </w:rPr>
              <w:t>estart</w:t>
            </w:r>
            <w:r w:rsidRPr="00D45FC7">
              <w:rPr>
                <w:rFonts w:ascii="Times New Roman" w:eastAsia="Times New Roman" w:hAnsi="Times New Roman" w:cs="Times New Roman"/>
                <w:sz w:val="22"/>
                <w:szCs w:val="22"/>
                <w:lang w:val="es-PR"/>
              </w:rPr>
              <w:t>, antes de considerar alguna de estas actividades, la entidad elegible que solicita debe demostrar su relación con el desastre y si está cumpliendo con los Principios de Costos, proponiendo costos razonables y necesarios.</w:t>
            </w:r>
            <w:r w:rsidR="008B6879" w:rsidRPr="00D45FC7">
              <w:rPr>
                <w:rFonts w:ascii="Times New Roman" w:eastAsia="Times New Roman" w:hAnsi="Times New Roman" w:cs="Times New Roman"/>
                <w:sz w:val="22"/>
                <w:szCs w:val="22"/>
                <w:lang w:val="es-PR"/>
              </w:rPr>
              <w:t xml:space="preserve">  </w:t>
            </w:r>
            <w:r w:rsidR="00850A70" w:rsidRPr="00D45FC7">
              <w:rPr>
                <w:rFonts w:ascii="Times New Roman" w:eastAsia="Times New Roman" w:hAnsi="Times New Roman" w:cs="Times New Roman"/>
                <w:sz w:val="22"/>
                <w:szCs w:val="22"/>
                <w:lang w:val="es-PR"/>
              </w:rPr>
              <w:t xml:space="preserve">Cabe señalar </w:t>
            </w:r>
            <w:r w:rsidR="008B6879" w:rsidRPr="00D45FC7">
              <w:rPr>
                <w:rFonts w:ascii="Times New Roman" w:eastAsia="Times New Roman" w:hAnsi="Times New Roman" w:cs="Times New Roman"/>
                <w:sz w:val="22"/>
                <w:szCs w:val="22"/>
                <w:lang w:val="es-PR"/>
              </w:rPr>
              <w:t xml:space="preserve">que las actividades permitidas tienen que formar parte del Plan de Trabajo aprobado por el USDE para que puedan ser sufragados con fondos </w:t>
            </w:r>
            <w:r w:rsidR="008B6879" w:rsidRPr="00D45FC7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s-PR"/>
              </w:rPr>
              <w:t>Restart.</w:t>
            </w:r>
          </w:p>
          <w:p w14:paraId="5EFA87B8" w14:textId="26DC9DE4" w:rsidR="008A0E0D" w:rsidRPr="00D45FC7" w:rsidRDefault="005F626F" w:rsidP="008A0E0D">
            <w:pPr>
              <w:pStyle w:val="ListParagraph"/>
              <w:ind w:left="1158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U</w:t>
            </w:r>
            <w:r w:rsidR="008A0E0D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tiliz</w:t>
            </w:r>
            <w:r w:rsidR="004B4D80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ar </w:t>
            </w:r>
            <w:r w:rsidR="00507F24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la plantilla</w:t>
            </w:r>
            <w:r w:rsidR="004B4D80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en el Anejo A</w:t>
            </w:r>
            <w:r w:rsidR="008A0E0D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para solicitar fondos</w:t>
            </w:r>
            <w:r w:rsidR="007D1C68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Restart.</w:t>
            </w:r>
            <w:r w:rsidR="008A0E0D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</w:t>
            </w:r>
          </w:p>
          <w:p w14:paraId="78A1FE14" w14:textId="7005B23B" w:rsidR="008927C9" w:rsidRPr="00D45FC7" w:rsidRDefault="008927C9" w:rsidP="008927C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PR"/>
              </w:rPr>
            </w:pPr>
          </w:p>
          <w:p w14:paraId="2593804A" w14:textId="59FF6414" w:rsidR="008927C9" w:rsidRPr="00D45FC7" w:rsidRDefault="00071B18" w:rsidP="00D45FC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Utilizar la plantilla en el </w:t>
            </w: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Anejo A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para solicitar los fondos. </w:t>
            </w:r>
          </w:p>
          <w:p w14:paraId="4C357D60" w14:textId="77777777" w:rsidR="005D2BBB" w:rsidRPr="00D45FC7" w:rsidRDefault="005D2BBB" w:rsidP="002E466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5D2BBB" w:rsidRPr="008F75CF" w14:paraId="2FAFBFF6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18A427F8" w14:textId="77777777" w:rsidR="005D2BBB" w:rsidRPr="00D45FC7" w:rsidRDefault="005D2BBB" w:rsidP="0075067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6C9E196D" w14:textId="77777777" w:rsidR="005D2BBB" w:rsidRPr="00D45FC7" w:rsidRDefault="00A93515" w:rsidP="007537C5">
            <w:pPr>
              <w:pStyle w:val="ListParagraph"/>
              <w:numPr>
                <w:ilvl w:val="0"/>
                <w:numId w:val="4"/>
              </w:numPr>
              <w:ind w:left="42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C</w:t>
            </w:r>
            <w:r w:rsidR="00A3480A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ompleta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</w:t>
            </w:r>
            <w:r w:rsidR="00A3480A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la </w:t>
            </w:r>
            <w:r w:rsidR="005D2BBB"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 xml:space="preserve">Certificación de Uso de Fondos </w:t>
            </w:r>
            <w:r w:rsidR="005D2BBB" w:rsidRPr="00D45FC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es-PR"/>
              </w:rPr>
              <w:t>R</w:t>
            </w:r>
            <w:r w:rsidR="00EA060D" w:rsidRPr="00D45FC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es-PR"/>
              </w:rPr>
              <w:t>estart</w:t>
            </w:r>
            <w:r w:rsidR="005D2BBB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</w:t>
            </w:r>
            <w:r w:rsidR="00EC2EAD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utilizando el </w:t>
            </w:r>
            <w:r w:rsidR="005D2BBB"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 xml:space="preserve">Anejo </w:t>
            </w:r>
            <w:r w:rsidR="008246D4"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B</w:t>
            </w:r>
            <w:r w:rsidR="005D2BBB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.  </w:t>
            </w:r>
          </w:p>
          <w:p w14:paraId="08425D9E" w14:textId="77777777" w:rsidR="005D2BBB" w:rsidRPr="00D45FC7" w:rsidRDefault="005D2BBB" w:rsidP="00750674">
            <w:pPr>
              <w:pStyle w:val="ListParagraph"/>
              <w:ind w:left="42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750E22FA" w14:textId="77777777" w:rsidR="005D2BBB" w:rsidRPr="00D45FC7" w:rsidRDefault="00485E32" w:rsidP="00750674">
            <w:pPr>
              <w:ind w:left="42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PR"/>
              </w:rPr>
              <w:t>NOTA: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</w:t>
            </w:r>
            <w:r w:rsidR="005D2BBB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Las necesidades presentadas en la solicitud de autorización de fondos no pueden haber sido objeto de reclamación alguna a una aseguradora privada o a la Agencia Federal para el Manejo de Emergencias (</w:t>
            </w:r>
            <w:r w:rsidR="005D2BBB"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FEMA</w:t>
            </w:r>
            <w:r w:rsidR="005D2BBB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por sus siglas en inglés)</w:t>
            </w:r>
            <w:r w:rsidR="00E80540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,</w:t>
            </w:r>
            <w:r w:rsidR="00E203AA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por las cuales se haya recibido pagos o fondos.</w:t>
            </w:r>
          </w:p>
          <w:p w14:paraId="3A60D3F2" w14:textId="77777777" w:rsidR="005D2BBB" w:rsidRPr="00D45FC7" w:rsidRDefault="005D2BBB" w:rsidP="00750674">
            <w:pPr>
              <w:ind w:left="42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5D2BBB" w:rsidRPr="008F75CF" w14:paraId="2F67BFA6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0463FA11" w14:textId="77777777" w:rsidR="005D2BBB" w:rsidRPr="00D45FC7" w:rsidRDefault="005D2BBB" w:rsidP="0075067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0A7D0C69" w14:textId="7DA8DF70" w:rsidR="005D2BBB" w:rsidRPr="00D45FC7" w:rsidRDefault="00770015" w:rsidP="00DC224C">
            <w:pPr>
              <w:pStyle w:val="ListParagraph"/>
              <w:numPr>
                <w:ilvl w:val="0"/>
                <w:numId w:val="4"/>
              </w:numPr>
              <w:ind w:left="42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Para sustentar la </w:t>
            </w:r>
            <w:r w:rsidR="005D2BBB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solicitud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, esta</w:t>
            </w:r>
            <w:r w:rsidR="005D2BBB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debe ir acompañada por el </w:t>
            </w:r>
            <w:r w:rsidR="007314A9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</w:t>
            </w:r>
            <w:r w:rsidR="005D2BBB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studio de </w:t>
            </w:r>
            <w:r w:rsidR="007314A9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n</w:t>
            </w:r>
            <w:r w:rsidR="005D2BBB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ecesidades</w:t>
            </w:r>
            <w:r w:rsidR="00F401AB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,</w:t>
            </w:r>
            <w:r w:rsidR="005D2BBB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el Plan Trabajo y</w:t>
            </w:r>
            <w:r w:rsidR="00F401AB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el </w:t>
            </w:r>
            <w:r w:rsidR="005D2BBB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Estimado de Costo Independiente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.</w:t>
            </w:r>
          </w:p>
          <w:p w14:paraId="7A51CE64" w14:textId="77777777" w:rsidR="00770015" w:rsidRPr="00D45FC7" w:rsidRDefault="00770015" w:rsidP="00770015">
            <w:pPr>
              <w:pStyle w:val="ListParagraph"/>
              <w:ind w:left="42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</w:p>
        </w:tc>
      </w:tr>
      <w:tr w:rsidR="005D2BBB" w:rsidRPr="008F75CF" w14:paraId="6BC436F1" w14:textId="77777777" w:rsidTr="00D45FC7">
        <w:tc>
          <w:tcPr>
            <w:tcW w:w="2335" w:type="dxa"/>
            <w:vMerge w:val="restart"/>
            <w:shd w:val="clear" w:color="auto" w:fill="F2F2F2" w:themeFill="background1" w:themeFillShade="F2"/>
          </w:tcPr>
          <w:p w14:paraId="3A301DBE" w14:textId="77777777" w:rsidR="005D2BBB" w:rsidRPr="00D45FC7" w:rsidRDefault="005D2BBB" w:rsidP="007506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Secretaría Auxiliar de Asuntos Federales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62F1E514" w14:textId="77777777" w:rsidR="005D2BBB" w:rsidRPr="00D45FC7" w:rsidRDefault="005D2BBB" w:rsidP="007537C5">
            <w:pPr>
              <w:pStyle w:val="ListParagraph"/>
              <w:numPr>
                <w:ilvl w:val="0"/>
                <w:numId w:val="4"/>
              </w:numPr>
              <w:ind w:left="42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Evalúa la solicitud de autorización de fondos y determina si cumplió con todos los requisitos enumerados anteriormente (</w:t>
            </w:r>
            <w:r w:rsidR="007150A6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pasos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1 al 7).</w:t>
            </w:r>
          </w:p>
          <w:p w14:paraId="74EE0F0C" w14:textId="77777777" w:rsidR="005D2BBB" w:rsidRPr="00D45FC7" w:rsidRDefault="005D2BBB" w:rsidP="0075067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</w:p>
        </w:tc>
      </w:tr>
      <w:tr w:rsidR="005D2BBB" w:rsidRPr="008F75CF" w14:paraId="3F24CDB8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617CB7DB" w14:textId="77777777" w:rsidR="005D2BBB" w:rsidRPr="00D45FC7" w:rsidRDefault="005D2BBB" w:rsidP="0075067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08A63397" w14:textId="77777777" w:rsidR="005D2BBB" w:rsidRPr="00D45FC7" w:rsidRDefault="005D2BBB" w:rsidP="007537C5">
            <w:pPr>
              <w:pStyle w:val="ListParagraph"/>
              <w:numPr>
                <w:ilvl w:val="0"/>
                <w:numId w:val="4"/>
              </w:numPr>
              <w:ind w:left="427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Evalúa la permisibilidad del uso de los fondos y </w:t>
            </w:r>
            <w:r w:rsidR="00962F2C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de ser necesario</w:t>
            </w:r>
            <w:r w:rsidR="004E4587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,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realiza una consulta al Departamento de Educación de los Estados Unidos (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USDE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)</w:t>
            </w:r>
            <w:r w:rsidR="00C04B70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.</w:t>
            </w:r>
          </w:p>
          <w:p w14:paraId="6B15D1F6" w14:textId="77777777" w:rsidR="005D2BBB" w:rsidRPr="00D45FC7" w:rsidRDefault="005D2BBB" w:rsidP="0075067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</w:p>
        </w:tc>
      </w:tr>
      <w:tr w:rsidR="005D2BBB" w:rsidRPr="008F75CF" w14:paraId="5FCE2A98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01F4CF5C" w14:textId="77777777" w:rsidR="005D2BBB" w:rsidRPr="00D45FC7" w:rsidRDefault="005D2BBB" w:rsidP="0075067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1F9E4138" w14:textId="0E1B2BB9" w:rsidR="007314A9" w:rsidRPr="00D45FC7" w:rsidRDefault="005D2BBB" w:rsidP="007537C5">
            <w:pPr>
              <w:pStyle w:val="ListParagraph"/>
              <w:numPr>
                <w:ilvl w:val="0"/>
                <w:numId w:val="4"/>
              </w:numPr>
              <w:ind w:left="427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Emite</w:t>
            </w:r>
            <w:r w:rsidR="00750674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,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de forma escrita</w:t>
            </w:r>
            <w:r w:rsidR="00750674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,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una determinación de </w:t>
            </w:r>
            <w:r w:rsidR="009F37C8"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A</w:t>
            </w: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probación</w:t>
            </w:r>
            <w:r w:rsidR="007314A9"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 xml:space="preserve"> </w:t>
            </w: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o denegación de la solicitud</w:t>
            </w:r>
            <w:r w:rsidR="009F37C8"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 xml:space="preserve"> y </w:t>
            </w:r>
            <w:r w:rsidR="002F3C28" w:rsidRPr="00967D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 xml:space="preserve">la </w:t>
            </w:r>
            <w:r w:rsidR="009F37C8"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transferencia de fondos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. </w:t>
            </w:r>
          </w:p>
          <w:p w14:paraId="1A9E8150" w14:textId="77777777" w:rsidR="007314A9" w:rsidRPr="00D45FC7" w:rsidRDefault="007314A9" w:rsidP="007314A9">
            <w:pPr>
              <w:pStyle w:val="ListParagraph"/>
              <w:ind w:left="427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27C3A2C9" w14:textId="1BFB815D" w:rsidR="005D2BBB" w:rsidRPr="00D45FC7" w:rsidRDefault="005D2BBB" w:rsidP="007314A9">
            <w:pPr>
              <w:pStyle w:val="ListParagraph"/>
              <w:ind w:left="427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Para esto se utilizará la plantilla en el </w:t>
            </w: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Anejo C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.</w:t>
            </w:r>
          </w:p>
          <w:p w14:paraId="1748D2DD" w14:textId="77777777" w:rsidR="005D2BBB" w:rsidRPr="00D45FC7" w:rsidRDefault="005D2BBB" w:rsidP="00750674">
            <w:pPr>
              <w:pStyle w:val="ListParagraph"/>
              <w:ind w:left="337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5D2BBB" w:rsidRPr="008F75CF" w14:paraId="070B17F5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0344FFE9" w14:textId="77777777" w:rsidR="005D2BBB" w:rsidRPr="00D45FC7" w:rsidRDefault="005D2BBB" w:rsidP="0075067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091A3656" w14:textId="77777777" w:rsidR="005D2BBB" w:rsidRPr="00D45FC7" w:rsidRDefault="005D2BBB" w:rsidP="007537C5">
            <w:pPr>
              <w:pStyle w:val="ListParagraph"/>
              <w:numPr>
                <w:ilvl w:val="0"/>
                <w:numId w:val="4"/>
              </w:numPr>
              <w:ind w:left="427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Realiza la transferencia de fondos </w:t>
            </w:r>
            <w:r w:rsidR="00BE616D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en los objetos de gastos correspondientes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pa</w:t>
            </w:r>
            <w:r w:rsidR="00FD138B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ra</w:t>
            </w:r>
            <w:r w:rsidR="00BE616D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adquirir</w:t>
            </w:r>
            <w:r w:rsidR="00FD138B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los bienes y servicios</w:t>
            </w:r>
            <w:r w:rsidR="005A2526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no personales</w:t>
            </w:r>
            <w:r w:rsidR="00FD138B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solicitad</w:t>
            </w:r>
            <w:r w:rsidR="00FD138B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o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s.</w:t>
            </w:r>
          </w:p>
          <w:p w14:paraId="4DA3268F" w14:textId="77777777" w:rsidR="005D2BBB" w:rsidRPr="00D45FC7" w:rsidRDefault="005D2BBB" w:rsidP="00750674">
            <w:pPr>
              <w:pStyle w:val="ListParagraph"/>
              <w:ind w:left="427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2352D1" w:rsidRPr="008F75CF" w14:paraId="78EF2C64" w14:textId="77777777" w:rsidTr="00D45FC7">
        <w:tc>
          <w:tcPr>
            <w:tcW w:w="2335" w:type="dxa"/>
            <w:shd w:val="clear" w:color="auto" w:fill="F2F2F2" w:themeFill="background1" w:themeFillShade="F2"/>
          </w:tcPr>
          <w:p w14:paraId="72510F94" w14:textId="03A617C1" w:rsidR="002352D1" w:rsidRPr="00D45FC7" w:rsidRDefault="00411CF4" w:rsidP="0075067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Entidad Elegible (si aplica)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5A85650C" w14:textId="77777777" w:rsidR="002352D1" w:rsidRPr="00D45FC7" w:rsidRDefault="00411CF4" w:rsidP="007537C5">
            <w:pPr>
              <w:pStyle w:val="ListParagraph"/>
              <w:numPr>
                <w:ilvl w:val="0"/>
                <w:numId w:val="4"/>
              </w:numPr>
              <w:ind w:left="427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Siguiendo las disposiciones de la Ley 75-2019 del </w:t>
            </w:r>
            <w:r w:rsidRPr="00D45FC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PR"/>
              </w:rPr>
              <w:t>Puerto Rico Innovation Technology Services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(PRITS)</w:t>
            </w:r>
            <w:r w:rsidR="0052203F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y su Carta Circular 2020-003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, </w:t>
            </w:r>
            <w:r w:rsidR="0052203F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la entidad elegible s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omete</w:t>
            </w:r>
            <w:r w:rsidR="0052203F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rá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ante la consideración del Oficial de Informática del DEPR una solicitud de evaluación y aprobación de todo proyecto, compras, subastas, requerimientos de propuestas, contratos o cualquier método establecido para la adquisición de bienes y servicios relacionados, en todo o en parte, a los sistemas de información o que impacte los centros de datos (“data center”), los servicios de nube, los sistemas de telefonía, infraestructura de redes, equipos de seguridad, aplicaciones en general, la digitalización de trámites y servicios, las plataformas de datos, y páginas web.</w:t>
            </w:r>
          </w:p>
          <w:p w14:paraId="2ACF9761" w14:textId="5CB9AF42" w:rsidR="008A51A8" w:rsidRPr="00D45FC7" w:rsidRDefault="008A51A8" w:rsidP="00D45FC7">
            <w:pPr>
              <w:pStyle w:val="ListParagraph"/>
              <w:ind w:left="427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52203F" w:rsidRPr="008F75CF" w14:paraId="0C67C6A3" w14:textId="77777777" w:rsidTr="00D45FC7"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00173F2C" w14:textId="0D03A6AE" w:rsidR="0052203F" w:rsidRPr="00D45FC7" w:rsidRDefault="0052203F" w:rsidP="0052203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Oficial de Informática del DEPR (si aplica) 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61C85033" w14:textId="77777777" w:rsidR="0052203F" w:rsidRPr="00D45FC7" w:rsidRDefault="008A51A8" w:rsidP="005220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Radicará la solicitud para la evaluación del bien o servicio, en cumplimiento con la Ley 75-2019 y la Carta Circular 2020-003.</w:t>
            </w:r>
          </w:p>
          <w:p w14:paraId="16DF37AE" w14:textId="2739719D" w:rsidR="008A51A8" w:rsidRPr="00D45FC7" w:rsidRDefault="008A51A8" w:rsidP="00D45FC7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</w:p>
        </w:tc>
      </w:tr>
      <w:tr w:rsidR="0069619A" w:rsidRPr="008F75CF" w14:paraId="0D39E39D" w14:textId="77777777" w:rsidTr="00D45FC7"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6AC95DEC" w14:textId="77777777" w:rsidR="0069619A" w:rsidRPr="00D45FC7" w:rsidRDefault="0069619A" w:rsidP="0052203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620A38A2" w14:textId="77777777" w:rsidR="0069619A" w:rsidRPr="00D45FC7" w:rsidRDefault="0069619A" w:rsidP="005220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Esperará la certificación que emitirá PRITS aprobando el proceso y procederá con los siguientes pasos. </w:t>
            </w:r>
          </w:p>
          <w:p w14:paraId="4A251F98" w14:textId="2EFE04C8" w:rsidR="0069619A" w:rsidRPr="00D45FC7" w:rsidRDefault="0069619A" w:rsidP="00D45FC7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52203F" w:rsidRPr="008F75CF" w14:paraId="4E5F1C57" w14:textId="77777777" w:rsidTr="00D45FC7">
        <w:tc>
          <w:tcPr>
            <w:tcW w:w="2335" w:type="dxa"/>
            <w:shd w:val="clear" w:color="auto" w:fill="F2F2F2" w:themeFill="background1" w:themeFillShade="F2"/>
          </w:tcPr>
          <w:p w14:paraId="4FA2B84B" w14:textId="77777777" w:rsidR="0052203F" w:rsidRPr="00D45FC7" w:rsidRDefault="0052203F" w:rsidP="0052203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Entidad elegible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59010121" w14:textId="2EF7F580" w:rsidR="0052203F" w:rsidRPr="00D45FC7" w:rsidRDefault="0052203F" w:rsidP="005220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s-419"/>
              </w:rPr>
            </w:pPr>
            <w:r w:rsidRPr="00D45F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El </w:t>
            </w:r>
            <w:r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 xml:space="preserve">“Reglamento Uniforme de Compras y Subastas de Bienes, Obras y Servicios No Profesionales de la Administración de Servicios Generales (ASG) del Gobierno de Puerto Rico” (Reglamento 9230 del 18 de noviembre de 2020) fue creada bajo la Ley 73-2019, con el fin de la </w:t>
            </w:r>
            <w:r w:rsidRPr="00D45FC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419"/>
              </w:rPr>
              <w:t>centralización de las compras y subastas gubernamentales</w:t>
            </w:r>
            <w:r w:rsidR="00673696" w:rsidRPr="00D45FC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419"/>
              </w:rPr>
              <w:t>,</w:t>
            </w:r>
            <w:r w:rsidRPr="00D45FC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419"/>
              </w:rPr>
              <w:t xml:space="preserve"> y se establecen los métodos de licitación y compras excepcionales mediante los cuales se tramitarán las compras y subastas de bienes, obras y servicios no profesionales en el Gobierno de Puerto Rico. </w:t>
            </w:r>
          </w:p>
          <w:p w14:paraId="714DB2F0" w14:textId="77777777" w:rsidR="0052203F" w:rsidRPr="00D45FC7" w:rsidRDefault="0052203F" w:rsidP="00D45FC7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s-419"/>
              </w:rPr>
            </w:pPr>
          </w:p>
          <w:p w14:paraId="0D0E35F3" w14:textId="5634C443" w:rsidR="0052203F" w:rsidRPr="00D45FC7" w:rsidRDefault="0052203F" w:rsidP="00D45FC7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s-419"/>
              </w:rPr>
            </w:pPr>
            <w:r w:rsidRPr="00D45FC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s-419"/>
              </w:rPr>
              <w:t>Siguiendo el Reglamento 9230, la entidad elegible preparará una Solicitud de Adquisición, la cual enviará a la Oficina de Compras de</w:t>
            </w:r>
            <w:r w:rsidR="00673696" w:rsidRPr="00D45FC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s-419"/>
              </w:rPr>
              <w:t>l</w:t>
            </w:r>
            <w:r w:rsidRPr="00D45FC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es-419"/>
              </w:rPr>
              <w:t xml:space="preserve"> DEPR. </w:t>
            </w:r>
            <w:r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La Solicitud deberá incluir:</w:t>
            </w:r>
          </w:p>
          <w:p w14:paraId="28FC057B" w14:textId="2C08EA44" w:rsidR="0052203F" w:rsidRPr="00D45FC7" w:rsidRDefault="0052203F" w:rsidP="0052203F">
            <w:pPr>
              <w:pStyle w:val="ListParagraph"/>
              <w:numPr>
                <w:ilvl w:val="3"/>
                <w:numId w:val="40"/>
              </w:numPr>
              <w:spacing w:before="240" w:after="160" w:line="259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</w:pPr>
            <w:r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Descripción detallada que facilite preparar las especificaciones y permita establecer competencia entre varios suplidores y marcas</w:t>
            </w:r>
          </w:p>
          <w:p w14:paraId="676B0C2F" w14:textId="77777777" w:rsidR="0052203F" w:rsidRPr="00D45FC7" w:rsidRDefault="0052203F" w:rsidP="0052203F">
            <w:pPr>
              <w:pStyle w:val="ListParagraph"/>
              <w:numPr>
                <w:ilvl w:val="3"/>
                <w:numId w:val="40"/>
              </w:numPr>
              <w:spacing w:before="240" w:after="160" w:line="259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</w:pPr>
            <w:r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 xml:space="preserve">Justificación </w:t>
            </w:r>
          </w:p>
          <w:p w14:paraId="10BF5260" w14:textId="77777777" w:rsidR="0052203F" w:rsidRPr="00D45FC7" w:rsidRDefault="0052203F" w:rsidP="0052203F">
            <w:pPr>
              <w:pStyle w:val="ListParagraph"/>
              <w:numPr>
                <w:ilvl w:val="3"/>
                <w:numId w:val="40"/>
              </w:numPr>
              <w:spacing w:before="240" w:after="160" w:line="259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</w:pPr>
            <w:r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Especificaciones recomendadas</w:t>
            </w:r>
          </w:p>
          <w:p w14:paraId="16C7E48D" w14:textId="77777777" w:rsidR="0052203F" w:rsidRPr="00D45FC7" w:rsidRDefault="0052203F" w:rsidP="0052203F">
            <w:pPr>
              <w:pStyle w:val="ListParagraph"/>
              <w:numPr>
                <w:ilvl w:val="3"/>
                <w:numId w:val="40"/>
              </w:numPr>
              <w:spacing w:before="240" w:after="160" w:line="259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</w:pPr>
            <w:r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 xml:space="preserve">Condiciones que se interesa se cumplan </w:t>
            </w:r>
          </w:p>
          <w:p w14:paraId="0D97A721" w14:textId="4E0923ED" w:rsidR="0052203F" w:rsidRPr="00D45FC7" w:rsidRDefault="0052203F" w:rsidP="0052203F">
            <w:pPr>
              <w:pStyle w:val="ListParagraph"/>
              <w:numPr>
                <w:ilvl w:val="3"/>
                <w:numId w:val="40"/>
              </w:numPr>
              <w:spacing w:before="240" w:after="160" w:line="259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</w:pPr>
            <w:r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lastRenderedPageBreak/>
              <w:t xml:space="preserve">El sitio y las condiciones de entrega o forma en que requerirán y prestarán los servicios </w:t>
            </w:r>
          </w:p>
          <w:p w14:paraId="0DF34F6B" w14:textId="361BDAC7" w:rsidR="0052203F" w:rsidRPr="00D45FC7" w:rsidRDefault="0052203F" w:rsidP="0052203F">
            <w:pPr>
              <w:pStyle w:val="ListParagraph"/>
              <w:numPr>
                <w:ilvl w:val="3"/>
                <w:numId w:val="40"/>
              </w:numPr>
              <w:spacing w:before="240" w:after="160" w:line="259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</w:pPr>
            <w:r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Propósito y uso especifico de lo solicitado</w:t>
            </w:r>
          </w:p>
          <w:p w14:paraId="4A3A78B6" w14:textId="77777777" w:rsidR="0052203F" w:rsidRPr="00D45FC7" w:rsidRDefault="0052203F" w:rsidP="0052203F">
            <w:pPr>
              <w:pStyle w:val="ListParagraph"/>
              <w:numPr>
                <w:ilvl w:val="3"/>
                <w:numId w:val="40"/>
              </w:numPr>
              <w:spacing w:before="240" w:after="160" w:line="259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</w:pPr>
            <w:r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Certificación de fondos disponibles en presupuesto (cantidad)</w:t>
            </w:r>
          </w:p>
          <w:p w14:paraId="4035CAD7" w14:textId="0D7BAB86" w:rsidR="0052203F" w:rsidRPr="00D45FC7" w:rsidRDefault="0052203F" w:rsidP="0052203F">
            <w:pPr>
              <w:pStyle w:val="ListParagraph"/>
              <w:numPr>
                <w:ilvl w:val="3"/>
                <w:numId w:val="40"/>
              </w:numPr>
              <w:spacing w:before="240" w:after="160" w:line="259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</w:pPr>
            <w:r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Si desea establecer un contrato a término, favor de establecer el término de vigencia propuesto</w:t>
            </w:r>
          </w:p>
          <w:p w14:paraId="6AB36315" w14:textId="77777777" w:rsidR="0052203F" w:rsidRPr="00D45FC7" w:rsidRDefault="0052203F" w:rsidP="0052203F">
            <w:pPr>
              <w:pStyle w:val="ListParagraph"/>
              <w:numPr>
                <w:ilvl w:val="3"/>
                <w:numId w:val="40"/>
              </w:numPr>
              <w:spacing w:before="240" w:after="160" w:line="259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</w:pPr>
            <w:r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 xml:space="preserve">Recomendación de adjudicación a ASG, si entiende que la necesidad puede ser cubierta por un suplidor o varios licitadores. </w:t>
            </w:r>
          </w:p>
          <w:p w14:paraId="76596FFC" w14:textId="31DBD142" w:rsidR="0052203F" w:rsidRPr="00D45FC7" w:rsidRDefault="0052203F" w:rsidP="00D45FC7">
            <w:pPr>
              <w:pStyle w:val="ListParagraph"/>
              <w:numPr>
                <w:ilvl w:val="3"/>
                <w:numId w:val="41"/>
              </w:numPr>
              <w:tabs>
                <w:tab w:val="clear" w:pos="1260"/>
              </w:tabs>
              <w:spacing w:before="240" w:line="259" w:lineRule="auto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</w:pPr>
            <w:r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Cualquier otra información que estime pertinente.</w:t>
            </w:r>
          </w:p>
          <w:p w14:paraId="08743856" w14:textId="77777777" w:rsidR="0052203F" w:rsidRPr="00D45FC7" w:rsidRDefault="0052203F" w:rsidP="00D45FC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</w:p>
          <w:p w14:paraId="07F7F42D" w14:textId="77777777" w:rsidR="0052203F" w:rsidRPr="00D45FC7" w:rsidRDefault="0052203F" w:rsidP="00D45FC7">
            <w:pPr>
              <w:pStyle w:val="ListParagraph"/>
              <w:ind w:left="43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</w:p>
        </w:tc>
      </w:tr>
      <w:tr w:rsidR="00DA2AE7" w:rsidRPr="008F75CF" w14:paraId="4297BA13" w14:textId="77777777" w:rsidTr="00D45FC7">
        <w:tc>
          <w:tcPr>
            <w:tcW w:w="2335" w:type="dxa"/>
            <w:vMerge w:val="restart"/>
            <w:shd w:val="clear" w:color="auto" w:fill="F2F2F2" w:themeFill="background1" w:themeFillShade="F2"/>
          </w:tcPr>
          <w:p w14:paraId="31CF2613" w14:textId="77777777" w:rsidR="00DA2AE7" w:rsidRPr="00D45FC7" w:rsidRDefault="00DA2AE7" w:rsidP="0052203F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lastRenderedPageBreak/>
              <w:t>Oficina de Compras Nivel Central o las establecidas en las ORE, según corresponda.</w:t>
            </w:r>
          </w:p>
          <w:p w14:paraId="72F47307" w14:textId="77777777" w:rsidR="00DA2AE7" w:rsidRPr="00D45FC7" w:rsidRDefault="00DA2AE7" w:rsidP="0052203F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26EDC25D" w14:textId="141B601C" w:rsidR="00DA2AE7" w:rsidRPr="00D45FC7" w:rsidRDefault="00DA2AE7" w:rsidP="00D45FC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Completa el proceso establecido en el</w:t>
            </w:r>
            <w:r w:rsidR="00F662E0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“Reglamento para la Adquisición, Ventas y Subastas de Bienes, Obras y Servicios No Personales del Departamento de Educación (Reglamento 7040) según enmendado, la Carta Circular 001-2021 del 11 de enero de 2021 de la Oficina de Gerencia y Presupuesto, “Medidas de Control de Responsabilidad Fiscal Relacionadas con le Contratación y el Procedimiento para la Autorización previa de Contratos de Servicios Profesionales o Comprados en exceso de $10,000”.</w:t>
            </w:r>
          </w:p>
          <w:p w14:paraId="0A463624" w14:textId="77777777" w:rsidR="00DA2AE7" w:rsidRPr="00D45FC7" w:rsidRDefault="00DA2AE7" w:rsidP="0052203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DA2AE7" w:rsidRPr="008F75CF" w14:paraId="0BAA1B84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6EEE1812" w14:textId="77777777" w:rsidR="00DA2AE7" w:rsidRPr="00D45FC7" w:rsidRDefault="00DA2AE7" w:rsidP="0052203F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78E961BA" w14:textId="5927DE41" w:rsidR="00DA2AE7" w:rsidRPr="00D45FC7" w:rsidRDefault="0090175C" w:rsidP="00EA6DA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Identificar</w:t>
            </w:r>
            <w:r w:rsidR="00B234D0"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á</w:t>
            </w:r>
            <w:r w:rsidR="00FB211E"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 xml:space="preserve"> la categor</w:t>
            </w:r>
            <w:r w:rsidR="00B234D0"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í</w:t>
            </w:r>
            <w:r w:rsidR="00FB211E"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 xml:space="preserve">a de compra bajo la cual </w:t>
            </w:r>
            <w:r w:rsidR="00B234D0"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se debe realizar</w:t>
            </w:r>
            <w:r w:rsidR="00FB211E"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 xml:space="preserve"> la adquisi</w:t>
            </w:r>
            <w:r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ción</w:t>
            </w:r>
            <w:r w:rsidR="00FB211E"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 xml:space="preserve"> y procederá a p</w:t>
            </w:r>
            <w:r w:rsidR="00DA2AE7"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 xml:space="preserve">reparar la Solicitud para la Adquisición (formulario 1001 u otro) a ser sometida a ASG, firmada por el Delegado Comprador (este será </w:t>
            </w:r>
            <w:r w:rsidR="002755F6"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 xml:space="preserve">la persona </w:t>
            </w:r>
            <w:r w:rsidR="00DA2AE7"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nombrad</w:t>
            </w:r>
            <w:r w:rsidR="002755F6"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a</w:t>
            </w:r>
            <w:r w:rsidR="00DA2AE7"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 xml:space="preserve"> por el Administrador de ASG) y por el Director de Compras del DEPR</w:t>
            </w:r>
            <w:r w:rsidR="00FB211E"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 xml:space="preserve"> para compras ordinarias o por el contrario establecerá la Solicitud para compras excepcionales</w:t>
            </w:r>
            <w:r w:rsidR="00DA2AE7"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 xml:space="preserve">, </w:t>
            </w:r>
            <w:r w:rsidR="002755F6"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en cumplimiento</w:t>
            </w:r>
            <w:r w:rsidR="00DA2AE7"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 xml:space="preserve"> con lo </w:t>
            </w:r>
            <w:r w:rsidR="002755F6"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dispuesto en el Reglamento 9230 de ASG</w:t>
            </w:r>
            <w:r w:rsidR="00DA2AE7"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.</w:t>
            </w:r>
          </w:p>
          <w:p w14:paraId="0A24503E" w14:textId="2E271F16" w:rsidR="00737D60" w:rsidRPr="00D45FC7" w:rsidRDefault="00737D60" w:rsidP="00737D6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2DE04A30" w14:textId="7C92A336" w:rsidR="00737D60" w:rsidRPr="00D45FC7" w:rsidRDefault="00737D60" w:rsidP="00D45FC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 xml:space="preserve">NOTA: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Las compras excepcionales</w:t>
            </w:r>
            <w:r w:rsidR="002565F4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a ser realizadas por el DEPR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tienen un proceso distinto de solicitud</w:t>
            </w:r>
            <w:r w:rsidR="002565F4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al de compras ordinarias. Favor de hacer referencia al Reglamento 9230 para identificar su aplicabilidad y procesos de solicitud.</w:t>
            </w:r>
            <w:r w:rsidR="00FF24EF" w:rsidRPr="00967D8C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De tener dudas sobre los próximos pasos o requisitos, favor de consultar con la Unidad Central de Compras.</w:t>
            </w:r>
          </w:p>
          <w:p w14:paraId="3F1E6233" w14:textId="438FA63E" w:rsidR="004F35A5" w:rsidRPr="00D45FC7" w:rsidRDefault="004F35A5" w:rsidP="004F35A5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52203F" w:rsidRPr="008F75CF" w14:paraId="5B2A8711" w14:textId="77777777" w:rsidTr="00D45FC7">
        <w:tc>
          <w:tcPr>
            <w:tcW w:w="2335" w:type="dxa"/>
            <w:shd w:val="clear" w:color="auto" w:fill="F2F2F2" w:themeFill="background1" w:themeFillShade="F2"/>
          </w:tcPr>
          <w:p w14:paraId="5999293A" w14:textId="3E1B09AE" w:rsidR="0052203F" w:rsidRPr="00D45FC7" w:rsidRDefault="006646CD" w:rsidP="002755F6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Entidad Elegible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63CF75E7" w14:textId="2DDE5E4E" w:rsidR="0052203F" w:rsidRPr="00D45FC7" w:rsidRDefault="006646CD" w:rsidP="00D45FC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Luego </w:t>
            </w:r>
            <w:r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de completado el proceso de compras por ASG, estos preparar</w:t>
            </w:r>
            <w:r w:rsidR="00737D60"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á</w:t>
            </w:r>
            <w:r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n la orden de compra (PO) o contrato correspondiente y se obligar</w:t>
            </w:r>
            <w:r w:rsidR="00737D60"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á</w:t>
            </w:r>
            <w:r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 xml:space="preserve">n los fondos. La entidad elegible esperará la notificación de </w:t>
            </w:r>
            <w:r w:rsidR="00D45AEF"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dichos documentos y someterá la evidencia de los mismos a la SAAF.</w:t>
            </w:r>
          </w:p>
          <w:p w14:paraId="28EB04F9" w14:textId="77777777" w:rsidR="0052203F" w:rsidRPr="00D45FC7" w:rsidRDefault="0052203F" w:rsidP="0052203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52203F" w:rsidRPr="008F75CF" w14:paraId="6542EC64" w14:textId="77777777" w:rsidTr="00D45FC7">
        <w:tc>
          <w:tcPr>
            <w:tcW w:w="2335" w:type="dxa"/>
            <w:vMerge w:val="restart"/>
            <w:shd w:val="clear" w:color="auto" w:fill="F2F2F2" w:themeFill="background1" w:themeFillShade="F2"/>
          </w:tcPr>
          <w:p w14:paraId="47E90C2F" w14:textId="77777777" w:rsidR="0052203F" w:rsidRPr="00D45FC7" w:rsidRDefault="0052203F" w:rsidP="0052203F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División de Propiedad</w:t>
            </w:r>
          </w:p>
          <w:p w14:paraId="52854170" w14:textId="77777777" w:rsidR="0052203F" w:rsidRPr="00D45FC7" w:rsidRDefault="0052203F" w:rsidP="0052203F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(Aplica en la adquisición de equipo capitalizable y no capitalizable)</w:t>
            </w:r>
          </w:p>
          <w:p w14:paraId="5D2C41C6" w14:textId="77777777" w:rsidR="0052203F" w:rsidRPr="00D45FC7" w:rsidRDefault="0052203F" w:rsidP="0052203F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05E42BD7" w14:textId="77777777" w:rsidR="0052203F" w:rsidRPr="00D45FC7" w:rsidRDefault="0052203F" w:rsidP="0052203F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1D728198" w14:textId="77777777" w:rsidR="0052203F" w:rsidRPr="00D45FC7" w:rsidRDefault="0052203F" w:rsidP="0052203F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4CE25752" w14:textId="77777777" w:rsidR="0052203F" w:rsidRPr="00D45FC7" w:rsidRDefault="0052203F" w:rsidP="0052203F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223CB9FC" w14:textId="77777777" w:rsidR="0052203F" w:rsidRPr="00D45FC7" w:rsidRDefault="0052203F" w:rsidP="0052203F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0EB7C02F" w14:textId="77777777" w:rsidR="0052203F" w:rsidRPr="00D45FC7" w:rsidRDefault="0052203F" w:rsidP="0052203F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3A547110" w14:textId="77777777" w:rsidR="0052203F" w:rsidRPr="00D45FC7" w:rsidRDefault="0052203F" w:rsidP="0052203F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5482502C" w14:textId="77777777" w:rsidR="0052203F" w:rsidRPr="00D45FC7" w:rsidRDefault="0052203F" w:rsidP="0052203F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264A8E43" w14:textId="58396BD9" w:rsidR="0052203F" w:rsidRPr="00D45FC7" w:rsidRDefault="0052203F" w:rsidP="00D45FC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lastRenderedPageBreak/>
              <w:t xml:space="preserve">Completa el proceso establecido en la sección VIII, Adquisición y Contabilización de Propiedad en el “Procedimiento para el Control y Contabilidad de la Propiedad del Departamento de Educación” del 21 de junio de 2006 de la División de Propiedad. Como regla general: </w:t>
            </w:r>
          </w:p>
          <w:p w14:paraId="154077DC" w14:textId="11C72324" w:rsidR="0019020B" w:rsidRPr="00D45FC7" w:rsidRDefault="0052203F" w:rsidP="0019020B">
            <w:pPr>
              <w:pStyle w:val="ListParagraph"/>
              <w:numPr>
                <w:ilvl w:val="0"/>
                <w:numId w:val="5"/>
              </w:numPr>
              <w:ind w:left="788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Serán capitalizados todos los bienes muebles e inmuebles, cuyo costo unitario sea quinientos dólares ($500.00) o más y cuya vida útil sea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lastRenderedPageBreak/>
              <w:t>mayor a dos (2) años. Ambas condiciones deben existir. Estos serán contabilizados en las cuentas de gastos E5000, según corresponda.</w:t>
            </w:r>
          </w:p>
        </w:tc>
      </w:tr>
      <w:tr w:rsidR="0052203F" w:rsidRPr="008F75CF" w14:paraId="58A8BF7D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53739E61" w14:textId="77777777" w:rsidR="0052203F" w:rsidRPr="00D45FC7" w:rsidRDefault="0052203F" w:rsidP="0052203F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158FD837" w14:textId="0ED73C8F" w:rsidR="0052203F" w:rsidRPr="00D45FC7" w:rsidRDefault="0052203F" w:rsidP="00D45FC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Rotula el equipo capitalizable (E5000) y el equipo no capitalizable (E4414) adquiridos con fondos del programa. Este será rotulado con el número que le asigna el Sistema de Registro de la Propiedad, según lo establece la Sección X del “Procedimiento para el Control y Contabilidad de la Propiedad del Departamento de Educación”.</w:t>
            </w:r>
          </w:p>
          <w:p w14:paraId="4A667BD0" w14:textId="77777777" w:rsidR="0052203F" w:rsidRPr="00D45FC7" w:rsidRDefault="0052203F" w:rsidP="0052203F">
            <w:pPr>
              <w:pStyle w:val="ListParagraph"/>
              <w:ind w:left="435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52203F" w:rsidRPr="008F75CF" w14:paraId="20018A67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5CC711F3" w14:textId="77777777" w:rsidR="0052203F" w:rsidRPr="00D45FC7" w:rsidRDefault="0052203F" w:rsidP="0052203F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commentRangeStart w:id="0"/>
          </w:p>
        </w:tc>
        <w:tc>
          <w:tcPr>
            <w:tcW w:w="7015" w:type="dxa"/>
            <w:shd w:val="clear" w:color="auto" w:fill="F2F2F2" w:themeFill="background1" w:themeFillShade="F2"/>
          </w:tcPr>
          <w:p w14:paraId="5C087490" w14:textId="4EEC8F18" w:rsidR="0052203F" w:rsidRPr="00D45FC7" w:rsidRDefault="0052203F" w:rsidP="00D45FC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Realiza inventarios físicos anuales, según lo establece la sección VI, Responsabilidades y Deberes del “Procedimiento para el Control y Contabilidad de la Propiedad del Departamento de Educación”.</w:t>
            </w:r>
            <w:commentRangeEnd w:id="0"/>
            <w:r w:rsidR="005104E7">
              <w:rPr>
                <w:rStyle w:val="CommentReference"/>
              </w:rPr>
              <w:commentReference w:id="0"/>
            </w:r>
          </w:p>
          <w:p w14:paraId="4B6C979F" w14:textId="77777777" w:rsidR="0052203F" w:rsidRPr="00D45FC7" w:rsidRDefault="0052203F" w:rsidP="0052203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A83FD9" w:rsidRPr="008F75CF" w14:paraId="2441C90C" w14:textId="77777777" w:rsidTr="00D45FC7">
        <w:tc>
          <w:tcPr>
            <w:tcW w:w="2335" w:type="dxa"/>
            <w:shd w:val="clear" w:color="auto" w:fill="F2F2F2" w:themeFill="background1" w:themeFillShade="F2"/>
          </w:tcPr>
          <w:p w14:paraId="0D2F4E52" w14:textId="6746F776" w:rsidR="00A83FD9" w:rsidRPr="00D45FC7" w:rsidRDefault="00A83FD9" w:rsidP="0052203F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Entidad elegible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0238EBA7" w14:textId="46D49187" w:rsidR="00A83FD9" w:rsidRPr="00D45FC7" w:rsidRDefault="00A83FD9" w:rsidP="00D45FC7">
            <w:pPr>
              <w:pStyle w:val="ListParagraph"/>
              <w:numPr>
                <w:ilvl w:val="0"/>
                <w:numId w:val="4"/>
              </w:numPr>
              <w:tabs>
                <w:tab w:val="left" w:pos="61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Incluye en el repositorio de documentación </w:t>
            </w:r>
            <w:r w:rsidRPr="00D45FC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PR"/>
              </w:rPr>
              <w:t>Restart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,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copia del contrato finalizado y los documentos complementarios que evidencian la legalidad del proceso. La documentación puede enviarse de forma digital o física</w:t>
            </w:r>
            <w:r w:rsidR="00FF24EF" w:rsidRPr="00967D8C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al Programa.</w:t>
            </w:r>
          </w:p>
          <w:p w14:paraId="6ADC65FF" w14:textId="77777777" w:rsidR="00A83FD9" w:rsidRPr="00D45FC7" w:rsidRDefault="00A83FD9" w:rsidP="00D45FC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</w:tbl>
    <w:p w14:paraId="76274A83" w14:textId="77777777" w:rsidR="00730ABF" w:rsidRPr="00D45FC7" w:rsidRDefault="00730ABF" w:rsidP="006A68CD">
      <w:pPr>
        <w:rPr>
          <w:rFonts w:ascii="Times New Roman" w:hAnsi="Times New Roman" w:cs="Times New Roman"/>
          <w:b/>
          <w:sz w:val="22"/>
          <w:szCs w:val="22"/>
          <w:lang w:val="es-PR"/>
        </w:rPr>
      </w:pPr>
    </w:p>
    <w:p w14:paraId="5C626D2A" w14:textId="77777777" w:rsidR="00730ABF" w:rsidRPr="00D45FC7" w:rsidRDefault="00730ABF" w:rsidP="006A68CD">
      <w:pPr>
        <w:rPr>
          <w:rFonts w:ascii="Times New Roman" w:hAnsi="Times New Roman" w:cs="Times New Roman"/>
          <w:b/>
          <w:sz w:val="22"/>
          <w:szCs w:val="22"/>
          <w:lang w:val="es-PR"/>
        </w:rPr>
      </w:pPr>
    </w:p>
    <w:p w14:paraId="6FCD8DA3" w14:textId="77777777" w:rsidR="00250496" w:rsidRPr="00D45FC7" w:rsidRDefault="00250496" w:rsidP="00D45FC7">
      <w:pPr>
        <w:jc w:val="both"/>
        <w:rPr>
          <w:rFonts w:ascii="Times New Roman" w:hAnsi="Times New Roman" w:cs="Times New Roman"/>
          <w:b/>
          <w:sz w:val="22"/>
          <w:szCs w:val="22"/>
          <w:lang w:val="es-PR"/>
        </w:rPr>
      </w:pPr>
    </w:p>
    <w:p w14:paraId="3BBF8F57" w14:textId="6437B50E" w:rsidR="00A2597D" w:rsidRPr="00D45FC7" w:rsidRDefault="00A11830" w:rsidP="00355BF9">
      <w:pPr>
        <w:ind w:left="810" w:hanging="450"/>
        <w:jc w:val="both"/>
        <w:rPr>
          <w:rFonts w:ascii="Times New Roman" w:hAnsi="Times New Roman" w:cs="Times New Roman"/>
          <w:b/>
          <w:sz w:val="22"/>
          <w:szCs w:val="22"/>
          <w:lang w:val="es-PR"/>
        </w:rPr>
      </w:pPr>
      <w:r w:rsidRPr="00D45FC7">
        <w:rPr>
          <w:rFonts w:ascii="Times New Roman" w:hAnsi="Times New Roman" w:cs="Times New Roman"/>
          <w:b/>
          <w:sz w:val="22"/>
          <w:szCs w:val="22"/>
          <w:lang w:val="es-PR"/>
        </w:rPr>
        <w:t>E.</w:t>
      </w:r>
      <w:r w:rsidR="00505F26" w:rsidRPr="00D45FC7">
        <w:rPr>
          <w:rFonts w:ascii="Times New Roman" w:hAnsi="Times New Roman" w:cs="Times New Roman"/>
          <w:b/>
          <w:sz w:val="22"/>
          <w:szCs w:val="22"/>
          <w:lang w:val="es-PR"/>
        </w:rPr>
        <w:t>2</w:t>
      </w:r>
      <w:r w:rsidRPr="00D45FC7">
        <w:rPr>
          <w:rFonts w:ascii="Times New Roman" w:hAnsi="Times New Roman" w:cs="Times New Roman"/>
          <w:b/>
          <w:sz w:val="22"/>
          <w:szCs w:val="22"/>
          <w:lang w:val="es-PR"/>
        </w:rPr>
        <w:t>.</w:t>
      </w:r>
      <w:r w:rsidR="00665DC7" w:rsidRPr="00D45FC7">
        <w:rPr>
          <w:rFonts w:ascii="Times New Roman" w:hAnsi="Times New Roman" w:cs="Times New Roman"/>
          <w:b/>
          <w:sz w:val="22"/>
          <w:szCs w:val="22"/>
          <w:lang w:val="es-PR"/>
        </w:rPr>
        <w:t xml:space="preserve"> </w:t>
      </w:r>
      <w:r w:rsidR="006215C4" w:rsidRPr="00D45FC7">
        <w:rPr>
          <w:rFonts w:ascii="Times New Roman" w:hAnsi="Times New Roman" w:cs="Times New Roman"/>
          <w:b/>
          <w:sz w:val="22"/>
          <w:szCs w:val="22"/>
          <w:lang w:val="es-PR"/>
        </w:rPr>
        <w:t>Procesos de solicitud, evaluación de solicitud y autorización de fondos para</w:t>
      </w:r>
      <w:r w:rsidR="0005059F" w:rsidRPr="00D45FC7">
        <w:rPr>
          <w:rFonts w:ascii="Times New Roman" w:hAnsi="Times New Roman" w:cs="Times New Roman"/>
          <w:b/>
          <w:sz w:val="22"/>
          <w:szCs w:val="22"/>
          <w:lang w:val="es-PR"/>
        </w:rPr>
        <w:t xml:space="preserve"> </w:t>
      </w:r>
      <w:r w:rsidR="00C46178" w:rsidRPr="00D45FC7">
        <w:rPr>
          <w:rFonts w:ascii="Times New Roman" w:hAnsi="Times New Roman" w:cs="Times New Roman"/>
          <w:b/>
          <w:sz w:val="22"/>
          <w:szCs w:val="22"/>
          <w:lang w:val="es-PR"/>
        </w:rPr>
        <w:t xml:space="preserve">la </w:t>
      </w:r>
      <w:r w:rsidR="00F143A0" w:rsidRPr="00D45FC7">
        <w:rPr>
          <w:rFonts w:ascii="Times New Roman" w:hAnsi="Times New Roman" w:cs="Times New Roman"/>
          <w:b/>
          <w:sz w:val="22"/>
          <w:szCs w:val="22"/>
          <w:lang w:val="es-PR"/>
        </w:rPr>
        <w:t>contratación</w:t>
      </w:r>
      <w:r w:rsidR="00C46178" w:rsidRPr="00D45FC7">
        <w:rPr>
          <w:rFonts w:ascii="Times New Roman" w:hAnsi="Times New Roman" w:cs="Times New Roman"/>
          <w:b/>
          <w:sz w:val="22"/>
          <w:szCs w:val="22"/>
          <w:lang w:val="es-PR"/>
        </w:rPr>
        <w:t xml:space="preserve"> de Servicios</w:t>
      </w:r>
      <w:r w:rsidR="00035713" w:rsidRPr="00D45FC7">
        <w:rPr>
          <w:rFonts w:ascii="Times New Roman" w:hAnsi="Times New Roman" w:cs="Times New Roman"/>
          <w:b/>
          <w:sz w:val="22"/>
          <w:szCs w:val="22"/>
          <w:lang w:val="es-PR"/>
        </w:rPr>
        <w:t xml:space="preserve"> </w:t>
      </w:r>
      <w:r w:rsidR="008E4A5C" w:rsidRPr="00D45FC7">
        <w:rPr>
          <w:rFonts w:ascii="Times New Roman" w:hAnsi="Times New Roman" w:cs="Times New Roman"/>
          <w:b/>
          <w:sz w:val="22"/>
          <w:szCs w:val="22"/>
          <w:lang w:val="es-PR"/>
        </w:rPr>
        <w:t>Profesionales</w:t>
      </w:r>
      <w:r w:rsidR="00DB1C6D" w:rsidRPr="00D45FC7">
        <w:rPr>
          <w:rFonts w:ascii="Times New Roman" w:hAnsi="Times New Roman" w:cs="Times New Roman"/>
          <w:b/>
          <w:sz w:val="22"/>
          <w:szCs w:val="22"/>
          <w:lang w:val="es-PR"/>
        </w:rPr>
        <w:t xml:space="preserve"> (incluye servicios profesionales</w:t>
      </w:r>
      <w:r w:rsidR="00182B02" w:rsidRPr="00D45FC7">
        <w:rPr>
          <w:rFonts w:ascii="Times New Roman" w:hAnsi="Times New Roman" w:cs="Times New Roman"/>
          <w:b/>
          <w:sz w:val="22"/>
          <w:szCs w:val="22"/>
          <w:lang w:val="es-PR"/>
        </w:rPr>
        <w:t>, consultivos, subrecipientes, manejadores de proyectos, entre otros).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936A5" w:rsidRPr="00967D8C" w14:paraId="25C74C08" w14:textId="77777777" w:rsidTr="00D45FC7">
        <w:trPr>
          <w:tblHeader/>
        </w:trPr>
        <w:tc>
          <w:tcPr>
            <w:tcW w:w="2335" w:type="dxa"/>
            <w:shd w:val="clear" w:color="auto" w:fill="31C9BB"/>
          </w:tcPr>
          <w:p w14:paraId="514BAF6E" w14:textId="4829C30F" w:rsidR="007936A5" w:rsidRPr="00D45FC7" w:rsidRDefault="00DD30A2" w:rsidP="00D45FC7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</w:pPr>
            <w:r w:rsidRPr="00967D8C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  <w:t>ÁREA ENCARGADA</w:t>
            </w:r>
          </w:p>
        </w:tc>
        <w:tc>
          <w:tcPr>
            <w:tcW w:w="7015" w:type="dxa"/>
            <w:shd w:val="clear" w:color="auto" w:fill="31C9BB"/>
          </w:tcPr>
          <w:p w14:paraId="5F95FF21" w14:textId="77777777" w:rsidR="007936A5" w:rsidRPr="00D45FC7" w:rsidRDefault="007936A5" w:rsidP="00750674">
            <w:pPr>
              <w:pStyle w:val="ListParagraph"/>
              <w:ind w:left="42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</w:pPr>
          </w:p>
          <w:p w14:paraId="18696B9C" w14:textId="77777777" w:rsidR="007936A5" w:rsidRPr="00D45FC7" w:rsidRDefault="007936A5" w:rsidP="00750674">
            <w:pPr>
              <w:pStyle w:val="ListParagraph"/>
              <w:ind w:left="42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  <w:t>PROCESO</w:t>
            </w:r>
          </w:p>
          <w:p w14:paraId="1F51F240" w14:textId="77777777" w:rsidR="007936A5" w:rsidRPr="00D45FC7" w:rsidRDefault="007936A5" w:rsidP="00750674">
            <w:pPr>
              <w:pStyle w:val="ListParagraph"/>
              <w:ind w:left="42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</w:pPr>
          </w:p>
        </w:tc>
      </w:tr>
      <w:tr w:rsidR="000632ED" w:rsidRPr="008F75CF" w14:paraId="0FD2D450" w14:textId="77777777" w:rsidTr="00D45FC7">
        <w:tc>
          <w:tcPr>
            <w:tcW w:w="2335" w:type="dxa"/>
            <w:shd w:val="clear" w:color="auto" w:fill="F2F2F2" w:themeFill="background1" w:themeFillShade="F2"/>
          </w:tcPr>
          <w:p w14:paraId="69BC8D05" w14:textId="77777777" w:rsidR="000632ED" w:rsidRPr="00D45FC7" w:rsidRDefault="000632ED" w:rsidP="000632E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Entidad elegible y Secretaría Auxiliar de Asuntos Federales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017AE8EA" w14:textId="2ACB58DF" w:rsidR="000632ED" w:rsidRPr="00D45FC7" w:rsidRDefault="000632ED" w:rsidP="00D54E09">
            <w:pPr>
              <w:pStyle w:val="ListParagraph"/>
              <w:ind w:left="795" w:hanging="810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1 - 1</w:t>
            </w:r>
            <w:r w:rsidR="00505F26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4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. Completarán los procesos descritos en los pasos 1 al 1</w:t>
            </w:r>
            <w:r w:rsidR="00505F26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4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del Proceso de adquisición de bienes o servicios </w:t>
            </w:r>
            <w:r w:rsidR="00D54E09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no personales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de</w:t>
            </w:r>
            <w:r w:rsidR="008246D4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scritos en la sección E.1.</w:t>
            </w:r>
          </w:p>
          <w:p w14:paraId="6346024B" w14:textId="77777777" w:rsidR="007F4EB1" w:rsidRPr="00D45FC7" w:rsidRDefault="007F4EB1" w:rsidP="00D54E09">
            <w:pPr>
              <w:pStyle w:val="ListParagraph"/>
              <w:ind w:left="795" w:hanging="810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0632ED" w:rsidRPr="008F75CF" w14:paraId="30F0F78D" w14:textId="77777777" w:rsidTr="00D45FC7">
        <w:tc>
          <w:tcPr>
            <w:tcW w:w="2335" w:type="dxa"/>
            <w:shd w:val="clear" w:color="auto" w:fill="F2F2F2" w:themeFill="background1" w:themeFillShade="F2"/>
          </w:tcPr>
          <w:p w14:paraId="2627B092" w14:textId="77777777" w:rsidR="000632ED" w:rsidRPr="00D45FC7" w:rsidRDefault="000632ED" w:rsidP="000632E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Entidad elegible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5BAD8AA8" w14:textId="64E05E84" w:rsidR="000632ED" w:rsidRPr="00D45FC7" w:rsidRDefault="000632ED" w:rsidP="00D45FC7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Prepara </w:t>
            </w:r>
            <w:r w:rsidR="00CD0376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la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Solicitud de Servicios Profesionales (</w:t>
            </w: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PSF 1)</w:t>
            </w:r>
            <w:r w:rsidR="000D553F"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 xml:space="preserve"> </w:t>
            </w:r>
            <w:r w:rsidR="000D553F"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419"/>
              </w:rPr>
              <w:t xml:space="preserve">(a) o PSF 1 (b)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y l</w:t>
            </w:r>
            <w:r w:rsidR="002A0002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a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somete a la Unidad de Adjudicación de Fondos junto con la</w:t>
            </w:r>
            <w:r w:rsidR="00747120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</w:t>
            </w:r>
            <w:r w:rsidR="000D553F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c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arta de</w:t>
            </w:r>
            <w:r w:rsidR="00747120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Aprobación de Solicitud de Fondo</w:t>
            </w:r>
            <w:r w:rsidR="00C60054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s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y</w:t>
            </w:r>
            <w:r w:rsidR="00FF6732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</w:t>
            </w:r>
            <w:r w:rsidR="00870BF2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Certificación de</w:t>
            </w:r>
            <w:r w:rsidR="00242DA7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Disponibilidad de</w:t>
            </w:r>
            <w:r w:rsidR="00870BF2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Fondos emitida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por el </w:t>
            </w:r>
            <w:r w:rsidR="00870BF2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P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rograma 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R</w:t>
            </w:r>
            <w:r w:rsidR="00870BF2"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estart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.</w:t>
            </w:r>
          </w:p>
          <w:p w14:paraId="2BAD4306" w14:textId="77777777" w:rsidR="000632ED" w:rsidRPr="00D45FC7" w:rsidRDefault="000632ED" w:rsidP="007F4EB1">
            <w:pPr>
              <w:pStyle w:val="ListParagraph"/>
              <w:ind w:left="43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0632ED" w:rsidRPr="008F75CF" w14:paraId="10A9C5CE" w14:textId="77777777" w:rsidTr="00D45FC7">
        <w:tc>
          <w:tcPr>
            <w:tcW w:w="2335" w:type="dxa"/>
            <w:shd w:val="clear" w:color="auto" w:fill="F2F2F2" w:themeFill="background1" w:themeFillShade="F2"/>
          </w:tcPr>
          <w:p w14:paraId="2755A2CF" w14:textId="77777777" w:rsidR="000632ED" w:rsidRPr="00D45FC7" w:rsidRDefault="000632ED" w:rsidP="000632ED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Unidad de Adjudicación de Fondos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1B5396B9" w14:textId="651A815D" w:rsidR="000632ED" w:rsidRPr="00D45FC7" w:rsidRDefault="000632ED" w:rsidP="00D45FC7">
            <w:pPr>
              <w:pStyle w:val="ListParagraph"/>
              <w:numPr>
                <w:ilvl w:val="0"/>
                <w:numId w:val="42"/>
              </w:numPr>
              <w:ind w:left="34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Realiza los procesos establecidos en </w:t>
            </w:r>
            <w:r w:rsidR="00A626EA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la “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Guía</w:t>
            </w:r>
            <w:r w:rsidR="00FF24EF" w:rsidRPr="00967D8C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</w:t>
            </w:r>
            <w:r w:rsidR="00043523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para la adjudicación y la contratación de los servicios profesionales sufragados con fondos federales administrados por la Secretaria Auxiliar de Asuntos Federales” del</w:t>
            </w:r>
            <w:r w:rsidR="00412036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18 de diciembre de 2020 </w:t>
            </w:r>
            <w:r w:rsidR="00026039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y la Carta Circular 001-2021 del 11 de enero de 2021 de la Oficina de Gerencia y Presupuesto, “Medidas de Control de Responsabilidad Fiscal Relacionadas con le Contratación y el Procedimiento para la Autorización previa de Contratos de Servicios Profesionales o Comprados en exceso de $10,000”</w:t>
            </w:r>
            <w:r w:rsidR="00FF24EF" w:rsidRPr="00967D8C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, según aplique</w:t>
            </w:r>
            <w:r w:rsidR="00E35996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.</w:t>
            </w:r>
          </w:p>
          <w:p w14:paraId="70CA0189" w14:textId="77777777" w:rsidR="000632ED" w:rsidRPr="00D45FC7" w:rsidRDefault="000632ED" w:rsidP="007F4EB1">
            <w:pPr>
              <w:pStyle w:val="ListParagraph"/>
              <w:ind w:left="43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D54E09" w:rsidRPr="008F75CF" w14:paraId="1D8315ED" w14:textId="77777777" w:rsidTr="00D45FC7">
        <w:tc>
          <w:tcPr>
            <w:tcW w:w="2335" w:type="dxa"/>
            <w:vMerge w:val="restart"/>
            <w:shd w:val="clear" w:color="auto" w:fill="F2F2F2" w:themeFill="background1" w:themeFillShade="F2"/>
          </w:tcPr>
          <w:p w14:paraId="5C162C01" w14:textId="77777777" w:rsidR="00D54E09" w:rsidRPr="00D45FC7" w:rsidRDefault="00D54E09" w:rsidP="000632E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lastRenderedPageBreak/>
              <w:t>Entidad elegible</w:t>
            </w:r>
            <w:r w:rsidR="0007274D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y </w:t>
            </w:r>
            <w:r w:rsidR="004D2090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Unidad de Adjudicación de Fondos</w:t>
            </w:r>
          </w:p>
          <w:p w14:paraId="59A2F6BB" w14:textId="77777777" w:rsidR="00D54E09" w:rsidRPr="00D45FC7" w:rsidRDefault="00D54E09" w:rsidP="000632E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7B52F4C4" w14:textId="0D3AAF3B" w:rsidR="00D12739" w:rsidRPr="00D45FC7" w:rsidRDefault="00D12739" w:rsidP="00D45FC7">
            <w:pPr>
              <w:spacing w:before="240" w:after="240"/>
              <w:jc w:val="both"/>
              <w:rPr>
                <w:rFonts w:ascii="Times New Roman" w:hAnsi="Times New Roman" w:cs="Times New Roman"/>
                <w:sz w:val="22"/>
                <w:szCs w:val="22"/>
                <w:lang w:val="es-419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>La entidad elegible someterá a SAAF todos los documentos necesarios y los PSFs aplicables, según dispuesto en la guía, dependiendo de la cantidad del contrato y según resumido a continuación:</w:t>
            </w:r>
          </w:p>
          <w:p w14:paraId="07584B2A" w14:textId="4358EF98" w:rsidR="00DD20FA" w:rsidRPr="00D45FC7" w:rsidRDefault="00DD20FA" w:rsidP="00D45FC7">
            <w:pPr>
              <w:pStyle w:val="ListParagraph"/>
              <w:numPr>
                <w:ilvl w:val="2"/>
                <w:numId w:val="43"/>
              </w:numPr>
              <w:spacing w:before="240" w:after="240"/>
              <w:jc w:val="both"/>
              <w:rPr>
                <w:rFonts w:ascii="Times New Roman" w:hAnsi="Times New Roman" w:cs="Times New Roman"/>
                <w:sz w:val="22"/>
                <w:szCs w:val="22"/>
                <w:lang w:val="es-419"/>
              </w:rPr>
            </w:pP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419"/>
              </w:rPr>
              <w:t>Contratos que no excedan de $250,000.00=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 los requisitos para contratar servicios profesionales que no excedan de $250,000.00 dependerán del costo de los servicios. A continuación, se incluyen las categorías y </w:t>
            </w:r>
            <w:r w:rsidR="00026039"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un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resumen de requisitos para completar la solicitud según aplique: </w:t>
            </w:r>
          </w:p>
          <w:p w14:paraId="614849F2" w14:textId="77777777" w:rsidR="00DD20FA" w:rsidRPr="00D45FC7" w:rsidRDefault="00DD20FA" w:rsidP="00DD20FA">
            <w:pPr>
              <w:pStyle w:val="ListParagraph"/>
              <w:numPr>
                <w:ilvl w:val="1"/>
                <w:numId w:val="44"/>
              </w:numPr>
              <w:spacing w:before="240" w:after="24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es-419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u w:val="single"/>
                <w:lang w:val="es-419"/>
              </w:rPr>
              <w:t>Contrato de servicios profesionales hasta $10,000.00 ($10,000.00 o menos)</w:t>
            </w:r>
          </w:p>
          <w:p w14:paraId="2D49B1E4" w14:textId="77777777" w:rsidR="00DD20FA" w:rsidRPr="00D45FC7" w:rsidRDefault="00DD20FA" w:rsidP="00DD20FA">
            <w:pPr>
              <w:pStyle w:val="ListParagraph"/>
              <w:numPr>
                <w:ilvl w:val="2"/>
                <w:numId w:val="44"/>
              </w:numPr>
              <w:spacing w:before="240" w:after="240"/>
              <w:ind w:left="2160"/>
              <w:jc w:val="both"/>
              <w:rPr>
                <w:rFonts w:ascii="Times New Roman" w:hAnsi="Times New Roman" w:cs="Times New Roman"/>
                <w:sz w:val="22"/>
                <w:szCs w:val="22"/>
                <w:lang w:val="es-419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Los requisitos que debe cumplir el suplidor para competir se completan al llenar los documentos oficiales </w:t>
            </w: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419"/>
              </w:rPr>
              <w:t>PSF 1 (a) y PSF 2</w:t>
            </w:r>
          </w:p>
          <w:p w14:paraId="7F3A3DA8" w14:textId="77777777" w:rsidR="00DD20FA" w:rsidRPr="00D45FC7" w:rsidRDefault="00DD20FA" w:rsidP="00DD20FA">
            <w:pPr>
              <w:pStyle w:val="ListParagraph"/>
              <w:numPr>
                <w:ilvl w:val="1"/>
                <w:numId w:val="44"/>
              </w:numPr>
              <w:spacing w:before="240" w:after="24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es-419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u w:val="single"/>
                <w:lang w:val="es-419"/>
              </w:rPr>
              <w:t>Contrato de servicios profesionales desde $10,000.01 hasta $100,000.00</w:t>
            </w:r>
          </w:p>
          <w:p w14:paraId="785C6152" w14:textId="77777777" w:rsidR="00DD20FA" w:rsidRPr="00D45FC7" w:rsidRDefault="00DD20FA" w:rsidP="00DD20FA">
            <w:pPr>
              <w:pStyle w:val="ListParagraph"/>
              <w:numPr>
                <w:ilvl w:val="2"/>
                <w:numId w:val="44"/>
              </w:numPr>
              <w:spacing w:before="240" w:after="240"/>
              <w:ind w:left="2160"/>
              <w:jc w:val="both"/>
              <w:rPr>
                <w:rFonts w:ascii="Times New Roman" w:hAnsi="Times New Roman" w:cs="Times New Roman"/>
                <w:sz w:val="22"/>
                <w:szCs w:val="22"/>
                <w:lang w:val="es-419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La UAF deberá obtener un mínimo de </w:t>
            </w: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419"/>
              </w:rPr>
              <w:t>3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 cotizaciones y la mejor oferta será seleccionada</w:t>
            </w:r>
          </w:p>
          <w:p w14:paraId="0B0E7A68" w14:textId="77777777" w:rsidR="00DD20FA" w:rsidRPr="00D45FC7" w:rsidRDefault="00DD20FA" w:rsidP="00DD20FA">
            <w:pPr>
              <w:pStyle w:val="ListParagraph"/>
              <w:numPr>
                <w:ilvl w:val="2"/>
                <w:numId w:val="44"/>
              </w:numPr>
              <w:spacing w:before="240" w:after="240"/>
              <w:ind w:left="216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es-419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Los requisitos que debe cumplir el suplidor para competir se completan al llenar los documentos oficiales </w:t>
            </w: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419"/>
              </w:rPr>
              <w:t>PSF 1 (a), PSF 3 y PSF 4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>.</w:t>
            </w:r>
          </w:p>
          <w:p w14:paraId="457AA5BF" w14:textId="77777777" w:rsidR="00DD20FA" w:rsidRPr="00D45FC7" w:rsidRDefault="00DD20FA" w:rsidP="00DD20FA">
            <w:pPr>
              <w:pStyle w:val="ListParagraph"/>
              <w:numPr>
                <w:ilvl w:val="1"/>
                <w:numId w:val="44"/>
              </w:numPr>
              <w:spacing w:before="240" w:after="24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es-419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u w:val="single"/>
                <w:lang w:val="es-419"/>
              </w:rPr>
              <w:t>Contrato de servicios profesionales desde $100,000.01 hasta $250,000.00</w:t>
            </w:r>
          </w:p>
          <w:p w14:paraId="0D35728C" w14:textId="77777777" w:rsidR="00DD20FA" w:rsidRPr="00D45FC7" w:rsidRDefault="00DD20FA" w:rsidP="00DD20FA">
            <w:pPr>
              <w:pStyle w:val="ListParagraph"/>
              <w:numPr>
                <w:ilvl w:val="2"/>
                <w:numId w:val="44"/>
              </w:numPr>
              <w:spacing w:before="240" w:after="240"/>
              <w:ind w:left="2160"/>
              <w:jc w:val="both"/>
              <w:rPr>
                <w:rFonts w:ascii="Times New Roman" w:hAnsi="Times New Roman" w:cs="Times New Roman"/>
                <w:sz w:val="22"/>
                <w:szCs w:val="22"/>
                <w:lang w:val="es-419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La UAF deberá obtener un mínimo de </w:t>
            </w: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419"/>
              </w:rPr>
              <w:t>5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 cotizaciones y la mejor oferta será seleccionada</w:t>
            </w:r>
          </w:p>
          <w:p w14:paraId="56781663" w14:textId="77777777" w:rsidR="00DD20FA" w:rsidRPr="00D45FC7" w:rsidRDefault="00DD20FA" w:rsidP="00DD20FA">
            <w:pPr>
              <w:pStyle w:val="ListParagraph"/>
              <w:numPr>
                <w:ilvl w:val="2"/>
                <w:numId w:val="44"/>
              </w:numPr>
              <w:spacing w:before="240" w:after="240"/>
              <w:ind w:left="216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es-419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Los requisitos que debe cumplir el suplidor para competir se completan al llenar los documentos oficiales </w:t>
            </w: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419"/>
              </w:rPr>
              <w:t>PSF 1 (a), PSF 3 y PSF 4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>.</w:t>
            </w:r>
          </w:p>
          <w:p w14:paraId="09740164" w14:textId="77777777" w:rsidR="00DD20FA" w:rsidRPr="00D45FC7" w:rsidRDefault="00DD20FA" w:rsidP="00D45FC7">
            <w:pPr>
              <w:pStyle w:val="ListParagraph"/>
              <w:spacing w:before="240" w:after="240"/>
              <w:ind w:left="180"/>
              <w:jc w:val="both"/>
              <w:rPr>
                <w:rFonts w:ascii="Times New Roman" w:hAnsi="Times New Roman" w:cs="Times New Roman"/>
                <w:sz w:val="22"/>
                <w:szCs w:val="22"/>
                <w:lang w:val="es-419"/>
              </w:rPr>
            </w:pPr>
          </w:p>
          <w:p w14:paraId="6456BDB9" w14:textId="6D5A6C4B" w:rsidR="00DD20FA" w:rsidRPr="00D45FC7" w:rsidRDefault="00DD20FA" w:rsidP="00DD20FA">
            <w:pPr>
              <w:pStyle w:val="ListParagraph"/>
              <w:numPr>
                <w:ilvl w:val="0"/>
                <w:numId w:val="43"/>
              </w:numPr>
              <w:spacing w:before="240" w:after="24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es-419"/>
              </w:rPr>
            </w:pP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419"/>
              </w:rPr>
              <w:t>Contratos que excedan de $250,000.00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>=</w:t>
            </w:r>
            <w:r w:rsidR="00527B66"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 para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 contratar servicios profesionales que excedan de $250,000.00, la UAF llevará a cabo un proceso de competencia abierto mediante Solicitud de Propuestas (RFP</w:t>
            </w:r>
            <w:r w:rsidR="00026039"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>, por sus siglas en inglés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>)</w:t>
            </w:r>
            <w:r w:rsidR="00B456E3"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, siguiendo las disposiciones incluidas en </w:t>
            </w:r>
            <w:r w:rsidR="00527B66"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>l</w:t>
            </w:r>
            <w:r w:rsidR="00B456E3"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a guía. </w:t>
            </w:r>
          </w:p>
          <w:p w14:paraId="77BA88AD" w14:textId="77777777" w:rsidR="00527B66" w:rsidRPr="00D45FC7" w:rsidRDefault="00527B66" w:rsidP="00D45FC7">
            <w:pPr>
              <w:pStyle w:val="ListParagraph"/>
              <w:spacing w:before="240" w:after="24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es-419"/>
              </w:rPr>
            </w:pPr>
          </w:p>
          <w:p w14:paraId="708CF611" w14:textId="47B1F9C5" w:rsidR="00DD20FA" w:rsidRPr="00D45FC7" w:rsidRDefault="00B456E3" w:rsidP="00EA6F16">
            <w:pPr>
              <w:pStyle w:val="ListParagraph"/>
              <w:numPr>
                <w:ilvl w:val="0"/>
                <w:numId w:val="43"/>
              </w:numPr>
              <w:spacing w:before="240" w:after="24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es-419"/>
              </w:rPr>
            </w:pP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es-419"/>
              </w:rPr>
              <w:t>Excepciones</w:t>
            </w:r>
            <w:r w:rsidR="00527B66"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>= son</w:t>
            </w:r>
            <w:r w:rsidR="00527B66"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es-419"/>
              </w:rPr>
              <w:t xml:space="preserve">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aquellas </w:t>
            </w:r>
            <w:r w:rsidR="009C2199"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>circunstancias específicas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 en las que no se tendrá que seguir los procesos competitivos establecidos anteriormente</w:t>
            </w:r>
            <w:r w:rsidR="00211527"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 y se podrán completar con el proceso establecido en la </w:t>
            </w:r>
            <w:r w:rsidR="009C2199"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>G</w:t>
            </w:r>
            <w:r w:rsidR="00211527"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>uía</w:t>
            </w:r>
            <w:r w:rsidR="00365690"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, </w:t>
            </w:r>
            <w:r w:rsidR="00211527"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>completando l</w:t>
            </w:r>
            <w:r w:rsidR="009C2199"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>os</w:t>
            </w:r>
            <w:r w:rsidR="00211527"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 PSF</w:t>
            </w:r>
            <w:r w:rsidR="009C2199"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>s</w:t>
            </w:r>
            <w:r w:rsidR="00211527"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 requerido</w:t>
            </w:r>
            <w:r w:rsidR="009C2199"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>s</w:t>
            </w:r>
            <w:r w:rsidR="00365690"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 para cada circunstancia</w:t>
            </w:r>
            <w:r w:rsidR="00211527"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>.</w:t>
            </w:r>
            <w:r w:rsidR="00EA6F16" w:rsidRPr="00967D8C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 A grandes rasgos, las excepciones son las siguientes: </w:t>
            </w:r>
            <w:r w:rsidR="00211527" w:rsidRPr="00D45FC7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 </w:t>
            </w:r>
            <w:r w:rsidR="00EA6F16" w:rsidRPr="00967D8C">
              <w:rPr>
                <w:rFonts w:ascii="Times New Roman" w:hAnsi="Times New Roman" w:cs="Times New Roman"/>
                <w:sz w:val="22"/>
                <w:szCs w:val="22"/>
                <w:lang w:val="es-419"/>
              </w:rPr>
              <w:t xml:space="preserve">(1) servicios prestados por individuos, (2) servicios legales, (3) mediación de conflictos, (4) consultoría, asesoría en contabilidad, atestación y auditoría, (5) servicios de salud, (6) único recurso, (7) enmienda, (8) renovación y (9)  emergencia. </w:t>
            </w:r>
          </w:p>
          <w:p w14:paraId="51BA1167" w14:textId="77777777" w:rsidR="00211527" w:rsidRPr="00D45FC7" w:rsidRDefault="00211527" w:rsidP="00D45FC7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  <w:u w:val="single"/>
                <w:lang w:val="es-419"/>
              </w:rPr>
            </w:pPr>
          </w:p>
          <w:p w14:paraId="5C3E0105" w14:textId="77777777" w:rsidR="00211527" w:rsidRPr="00D45FC7" w:rsidRDefault="00211527" w:rsidP="00D45FC7">
            <w:pPr>
              <w:pStyle w:val="ListParagraph"/>
              <w:spacing w:before="240" w:after="24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es-419"/>
              </w:rPr>
            </w:pPr>
          </w:p>
          <w:p w14:paraId="47B6C3AF" w14:textId="77777777" w:rsidR="009A7369" w:rsidRPr="00D45FC7" w:rsidRDefault="009A7369" w:rsidP="009A7369">
            <w:pPr>
              <w:pStyle w:val="ListParagraph"/>
              <w:ind w:left="43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40E49DB6" w14:textId="77777777" w:rsidR="00D54E09" w:rsidRPr="00D45FC7" w:rsidRDefault="00D54E09" w:rsidP="00D45FC7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D54E09" w:rsidRPr="008F75CF" w14:paraId="7B6DA1FD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48ECF186" w14:textId="77777777" w:rsidR="00D54E09" w:rsidRPr="00D45FC7" w:rsidRDefault="00D54E09" w:rsidP="000632E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44FA8602" w14:textId="778530BF" w:rsidR="00242EA8" w:rsidRPr="00D45FC7" w:rsidRDefault="0065279A" w:rsidP="000A7273">
            <w:pPr>
              <w:pStyle w:val="ListParagraph"/>
              <w:numPr>
                <w:ilvl w:val="0"/>
                <w:numId w:val="29"/>
              </w:numPr>
              <w:ind w:left="34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S</w:t>
            </w:r>
            <w:r w:rsidR="00F62A3C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e somete ante la consideración del Secretario del DEPR, la </w:t>
            </w:r>
            <w:r w:rsidR="00F62A3C"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Solicitud de Aprobación de Contratación</w:t>
            </w:r>
            <w:r w:rsidR="00F62A3C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de las compañías a las que se les haya adjudicado la contratación y luego, </w:t>
            </w:r>
            <w:r w:rsidR="00CB6977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incluirán </w:t>
            </w:r>
            <w:r w:rsidR="00242EA8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en el repositorio de documentación </w:t>
            </w:r>
            <w:r w:rsidR="00242EA8"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Restart</w:t>
            </w:r>
            <w:r w:rsidR="00242EA8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todos los documentos de apoyo requeridos por la SAAF en formato digital</w:t>
            </w:r>
            <w:r w:rsidR="00CB6977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o físic</w:t>
            </w:r>
            <w:r w:rsidR="00EA6F16" w:rsidRPr="005104E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a</w:t>
            </w:r>
            <w:r w:rsidR="00242EA8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.</w:t>
            </w:r>
          </w:p>
          <w:p w14:paraId="59F3DCE2" w14:textId="77777777" w:rsidR="007F4EB1" w:rsidRPr="00D45FC7" w:rsidRDefault="007F4EB1" w:rsidP="007F4EB1">
            <w:pPr>
              <w:pStyle w:val="ListParagraph"/>
              <w:ind w:left="43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0D2EC9" w:rsidRPr="008F75CF" w14:paraId="64173DDB" w14:textId="77777777" w:rsidTr="00D45FC7">
        <w:tc>
          <w:tcPr>
            <w:tcW w:w="2335" w:type="dxa"/>
            <w:shd w:val="clear" w:color="auto" w:fill="F2F2F2" w:themeFill="background1" w:themeFillShade="F2"/>
          </w:tcPr>
          <w:p w14:paraId="37EC6996" w14:textId="77777777" w:rsidR="000D2EC9" w:rsidRPr="00D45FC7" w:rsidRDefault="000D2EC9" w:rsidP="000632E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Secretaría Auxiliar de Asuntos Federales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33A1B9CD" w14:textId="77777777" w:rsidR="00335F5E" w:rsidRPr="00D45FC7" w:rsidRDefault="000D2EC9" w:rsidP="00335F5E">
            <w:pPr>
              <w:pStyle w:val="ListParagraph"/>
              <w:numPr>
                <w:ilvl w:val="0"/>
                <w:numId w:val="12"/>
              </w:numPr>
              <w:ind w:left="34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Revisa que la documentación recibida esté completa y correcta. </w:t>
            </w:r>
            <w:r w:rsidR="00D54E09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Una vez se verifique el cumplimiento, se emitirá una comunicación escrita de </w:t>
            </w:r>
            <w:r w:rsidR="00D54E09"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 xml:space="preserve">Aprobación para la Contratación con fondos </w:t>
            </w:r>
            <w:r w:rsidR="00D54E09" w:rsidRPr="00D45FC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es-PR"/>
              </w:rPr>
              <w:t>Restart</w:t>
            </w:r>
            <w:r w:rsidR="00D54E09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. </w:t>
            </w:r>
          </w:p>
          <w:p w14:paraId="66452F76" w14:textId="77777777" w:rsidR="00335F5E" w:rsidRPr="00D45FC7" w:rsidRDefault="00335F5E" w:rsidP="00335F5E">
            <w:pPr>
              <w:pStyle w:val="ListParagraph"/>
              <w:ind w:left="34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039B70F1" w14:textId="5E61BAB9" w:rsidR="000D2EC9" w:rsidRPr="00D45FC7" w:rsidRDefault="00D54E09" w:rsidP="00D45FC7">
            <w:pPr>
              <w:pStyle w:val="ListParagraph"/>
              <w:ind w:left="34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Para esto se utilizará la plantilla en el </w:t>
            </w: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Anejo D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.</w:t>
            </w:r>
          </w:p>
          <w:p w14:paraId="7D489208" w14:textId="77777777" w:rsidR="000D4F18" w:rsidRPr="00D45FC7" w:rsidRDefault="000D4F18" w:rsidP="000D4F18">
            <w:pPr>
              <w:pStyle w:val="ListParagraph"/>
              <w:ind w:left="34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FE5F80" w:rsidRPr="008F75CF" w14:paraId="17678C5D" w14:textId="77777777" w:rsidTr="00D45FC7">
        <w:tc>
          <w:tcPr>
            <w:tcW w:w="2335" w:type="dxa"/>
            <w:vMerge w:val="restart"/>
            <w:shd w:val="clear" w:color="auto" w:fill="F2F2F2" w:themeFill="background1" w:themeFillShade="F2"/>
          </w:tcPr>
          <w:p w14:paraId="6AACEBA0" w14:textId="77777777" w:rsidR="00FE5F80" w:rsidRPr="00D45FC7" w:rsidRDefault="00FE5F80" w:rsidP="000632E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Entidad elegible</w:t>
            </w:r>
          </w:p>
          <w:p w14:paraId="06D836A4" w14:textId="77777777" w:rsidR="00FE5F80" w:rsidRPr="00D45FC7" w:rsidRDefault="00FE5F80" w:rsidP="000632E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109074F0" w14:textId="77777777" w:rsidR="00FE5F80" w:rsidRDefault="00F62A3C" w:rsidP="00D45FC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Completa el proceso establecido en la Carta Circular 001-2021 del 11 de enero de 2021 de la Oficina de Gerencia y Presupuesto, “Medidas de Control de Responsabilidad Fiscal Relacionadas con le Contratación y el Procedimiento para la Autorización previa de Contratos de Servicios Profesionales o Comprados en exceso de $10,000”</w:t>
            </w:r>
            <w:r w:rsidR="00B1591E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y asegura el cumplimiento con el “</w:t>
            </w:r>
            <w:r w:rsidR="00B1591E"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FOMB Policy</w:t>
            </w:r>
            <w:r w:rsidR="00B1591E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” establecido bajo la sección 204(b)(2) de la ley PROMESA, la cual establece que todos los contratos o series de contratos relacionados, incluidas las enmiendas, modificaciones o extensiones, con un valor agregado total de $10 millones o más, incluidos los contratos de servicios profesionales, deben enviarse a FOMB para su aprobación antes de la ejecución del contrato a </w:t>
            </w:r>
            <w:hyperlink r:id="rId14" w:history="1">
              <w:r w:rsidR="00B1591E" w:rsidRPr="00D45FC7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s-PR"/>
                </w:rPr>
                <w:t>contratos@promesa.gov</w:t>
              </w:r>
            </w:hyperlink>
            <w:r w:rsidR="00B1591E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. </w:t>
            </w:r>
          </w:p>
          <w:p w14:paraId="47F83073" w14:textId="653DD7E6" w:rsidR="00C172C3" w:rsidRPr="00D45FC7" w:rsidRDefault="00C172C3" w:rsidP="00C172C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FE5F80" w:rsidRPr="008F75CF" w14:paraId="09E98DC6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7A80846D" w14:textId="77777777" w:rsidR="00FE5F80" w:rsidRPr="00D45FC7" w:rsidRDefault="00FE5F80" w:rsidP="000632E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2F655617" w14:textId="17625202" w:rsidR="00FE5F80" w:rsidRPr="00D45FC7" w:rsidRDefault="00FE5F80" w:rsidP="00D45FC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Entrega los documentos completados, debidamente firmados y negociados sus costos a la Unidad de Contratos.</w:t>
            </w:r>
          </w:p>
          <w:p w14:paraId="5DA47A02" w14:textId="77777777" w:rsidR="00FE5F80" w:rsidRPr="00D45FC7" w:rsidRDefault="00FE5F80" w:rsidP="00857CB8">
            <w:pPr>
              <w:pStyle w:val="ListParagraph"/>
              <w:ind w:left="25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BB4855" w:rsidRPr="008F75CF" w14:paraId="4BA505C4" w14:textId="77777777" w:rsidTr="00D45FC7">
        <w:tc>
          <w:tcPr>
            <w:tcW w:w="2335" w:type="dxa"/>
            <w:vMerge w:val="restart"/>
            <w:shd w:val="clear" w:color="auto" w:fill="F2F2F2" w:themeFill="background1" w:themeFillShade="F2"/>
          </w:tcPr>
          <w:p w14:paraId="5FF09FBF" w14:textId="77777777" w:rsidR="00BB4855" w:rsidRPr="00D45FC7" w:rsidRDefault="00BB4855" w:rsidP="000632E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Unidad de Contratos</w:t>
            </w:r>
          </w:p>
          <w:p w14:paraId="2D2D52C8" w14:textId="77777777" w:rsidR="00BB4855" w:rsidRPr="00D45FC7" w:rsidRDefault="00BB4855" w:rsidP="000632E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SAAF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3ECD87D1" w14:textId="77777777" w:rsidR="00BB4855" w:rsidRPr="00D45FC7" w:rsidRDefault="00BB4855" w:rsidP="000A7273">
            <w:pPr>
              <w:pStyle w:val="ListParagraph"/>
              <w:numPr>
                <w:ilvl w:val="0"/>
                <w:numId w:val="12"/>
              </w:numPr>
              <w:ind w:left="34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Realiza los procesos correspondientes para la contratación de los bienes y servicios. </w:t>
            </w:r>
          </w:p>
          <w:p w14:paraId="6DE02980" w14:textId="77777777" w:rsidR="00BB4855" w:rsidRPr="00D45FC7" w:rsidRDefault="00BB4855" w:rsidP="00BB4855">
            <w:pPr>
              <w:pStyle w:val="ListParagraph"/>
              <w:ind w:left="34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BB4855" w:rsidRPr="008F75CF" w14:paraId="2FF6A639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14DB0A32" w14:textId="77777777" w:rsidR="00BB4855" w:rsidRPr="00D45FC7" w:rsidRDefault="00BB4855" w:rsidP="00AC5C7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3222D969" w14:textId="465B821D" w:rsidR="00BB4855" w:rsidRPr="00D45FC7" w:rsidRDefault="00BB4855" w:rsidP="00BB4855">
            <w:pPr>
              <w:pStyle w:val="ListParagraph"/>
              <w:numPr>
                <w:ilvl w:val="0"/>
                <w:numId w:val="12"/>
              </w:numPr>
              <w:ind w:left="34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Asegura cumplimiento con </w:t>
            </w:r>
            <w:r w:rsidR="00B1591E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los procesos de contratación</w:t>
            </w:r>
            <w:r w:rsidR="000A5970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establecido en las secciones previas</w:t>
            </w:r>
            <w:r w:rsidR="00F526CC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.</w:t>
            </w:r>
            <w:r w:rsidR="00B1591E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</w:t>
            </w:r>
          </w:p>
          <w:p w14:paraId="7DFB624A" w14:textId="77777777" w:rsidR="00BB4855" w:rsidRPr="00D45FC7" w:rsidRDefault="00BB4855" w:rsidP="00BB4855">
            <w:pPr>
              <w:pStyle w:val="ListParagraph"/>
              <w:ind w:left="34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AC5C78" w:rsidRPr="008F75CF" w14:paraId="6D13D7AC" w14:textId="77777777" w:rsidTr="00D45FC7">
        <w:tc>
          <w:tcPr>
            <w:tcW w:w="2335" w:type="dxa"/>
            <w:shd w:val="clear" w:color="auto" w:fill="F2F2F2" w:themeFill="background1" w:themeFillShade="F2"/>
          </w:tcPr>
          <w:p w14:paraId="24539D91" w14:textId="77777777" w:rsidR="00AC5C78" w:rsidRPr="00D45FC7" w:rsidRDefault="00AC5C78" w:rsidP="00AC5C7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Entidad elegible</w:t>
            </w:r>
          </w:p>
          <w:p w14:paraId="36D09ABE" w14:textId="77777777" w:rsidR="00AC5C78" w:rsidRPr="00D45FC7" w:rsidRDefault="00AC5C78" w:rsidP="000632E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7BCD4768" w14:textId="77777777" w:rsidR="00AC5C78" w:rsidRPr="00D45FC7" w:rsidRDefault="00543AD4" w:rsidP="000A7273">
            <w:pPr>
              <w:pStyle w:val="ListParagraph"/>
              <w:numPr>
                <w:ilvl w:val="0"/>
                <w:numId w:val="12"/>
              </w:numPr>
              <w:ind w:left="34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Incluye en el repositorio de documentación 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Restart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, copia del contrato finalizado.</w:t>
            </w:r>
          </w:p>
          <w:p w14:paraId="0D395F90" w14:textId="77777777" w:rsidR="007E4CC6" w:rsidRPr="00D45FC7" w:rsidRDefault="007E4CC6" w:rsidP="007E4CC6">
            <w:pPr>
              <w:pStyle w:val="ListParagraph"/>
              <w:ind w:left="25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</w:tbl>
    <w:p w14:paraId="2D45E2D0" w14:textId="77777777" w:rsidR="00AF288A" w:rsidRPr="00D45FC7" w:rsidRDefault="00AF288A" w:rsidP="000D4F18">
      <w:pPr>
        <w:rPr>
          <w:rFonts w:ascii="Times New Roman" w:hAnsi="Times New Roman" w:cs="Times New Roman"/>
          <w:sz w:val="22"/>
          <w:szCs w:val="22"/>
          <w:lang w:val="es-PR"/>
        </w:rPr>
      </w:pPr>
    </w:p>
    <w:p w14:paraId="6D1B0CD1" w14:textId="552BD595" w:rsidR="000D4F18" w:rsidRPr="005104E7" w:rsidRDefault="000D4F18" w:rsidP="000D4F18">
      <w:pPr>
        <w:rPr>
          <w:rFonts w:ascii="Times New Roman" w:hAnsi="Times New Roman" w:cs="Times New Roman"/>
          <w:sz w:val="22"/>
          <w:szCs w:val="22"/>
          <w:lang w:val="es-PR"/>
        </w:rPr>
      </w:pPr>
    </w:p>
    <w:p w14:paraId="0DAD85F1" w14:textId="0FA736F3" w:rsidR="00EA6F16" w:rsidRPr="005104E7" w:rsidRDefault="00EA6F16" w:rsidP="000D4F18">
      <w:pPr>
        <w:rPr>
          <w:rFonts w:ascii="Times New Roman" w:hAnsi="Times New Roman" w:cs="Times New Roman"/>
          <w:sz w:val="22"/>
          <w:szCs w:val="22"/>
          <w:lang w:val="es-PR"/>
        </w:rPr>
      </w:pPr>
    </w:p>
    <w:p w14:paraId="1CF3B982" w14:textId="32E9A1FB" w:rsidR="00EA6F16" w:rsidRPr="005104E7" w:rsidRDefault="00EA6F16" w:rsidP="000D4F18">
      <w:pPr>
        <w:rPr>
          <w:rFonts w:ascii="Times New Roman" w:hAnsi="Times New Roman" w:cs="Times New Roman"/>
          <w:sz w:val="22"/>
          <w:szCs w:val="22"/>
          <w:lang w:val="es-PR"/>
        </w:rPr>
      </w:pPr>
    </w:p>
    <w:p w14:paraId="3F5A930C" w14:textId="77777777" w:rsidR="00EA6F16" w:rsidRPr="00D45FC7" w:rsidRDefault="00EA6F16" w:rsidP="000D4F18">
      <w:pPr>
        <w:rPr>
          <w:rFonts w:ascii="Times New Roman" w:hAnsi="Times New Roman" w:cs="Times New Roman"/>
          <w:sz w:val="22"/>
          <w:szCs w:val="22"/>
          <w:lang w:val="es-PR"/>
        </w:rPr>
      </w:pPr>
    </w:p>
    <w:p w14:paraId="41C7A42A" w14:textId="77777777" w:rsidR="00B8335D" w:rsidRPr="00D45FC7" w:rsidRDefault="00040B32" w:rsidP="007537C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2"/>
          <w:szCs w:val="22"/>
          <w:lang w:val="es-PR"/>
        </w:rPr>
      </w:pPr>
      <w:r w:rsidRPr="00D45FC7">
        <w:rPr>
          <w:rFonts w:ascii="Times New Roman" w:hAnsi="Times New Roman" w:cs="Times New Roman"/>
          <w:b/>
          <w:sz w:val="22"/>
          <w:szCs w:val="22"/>
          <w:lang w:val="es-PR"/>
        </w:rPr>
        <w:lastRenderedPageBreak/>
        <w:t xml:space="preserve">Procesos fiscales aplicables a las </w:t>
      </w:r>
      <w:r w:rsidR="00B8335D" w:rsidRPr="00D45FC7">
        <w:rPr>
          <w:rFonts w:ascii="Times New Roman" w:hAnsi="Times New Roman" w:cs="Times New Roman"/>
          <w:b/>
          <w:sz w:val="22"/>
          <w:szCs w:val="22"/>
          <w:lang w:val="es-PR"/>
        </w:rPr>
        <w:t>escuelas públicas del sistema</w:t>
      </w:r>
      <w:r w:rsidR="00F40D2B" w:rsidRPr="00D45FC7">
        <w:rPr>
          <w:rFonts w:ascii="Times New Roman" w:hAnsi="Times New Roman" w:cs="Times New Roman"/>
          <w:b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E69EF" w:rsidRPr="00967D8C" w14:paraId="37F78ABD" w14:textId="77777777" w:rsidTr="00D45FC7">
        <w:trPr>
          <w:tblHeader/>
        </w:trPr>
        <w:tc>
          <w:tcPr>
            <w:tcW w:w="2335" w:type="dxa"/>
            <w:shd w:val="clear" w:color="auto" w:fill="31C9BB"/>
          </w:tcPr>
          <w:p w14:paraId="4A5DAA80" w14:textId="77777777" w:rsidR="00DD30A2" w:rsidRPr="005104E7" w:rsidRDefault="00DD30A2" w:rsidP="009E69E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</w:pPr>
            <w:bookmarkStart w:id="1" w:name="_Hlk532387534"/>
          </w:p>
          <w:p w14:paraId="2C3A5E12" w14:textId="4A347E0E" w:rsidR="009E69EF" w:rsidRPr="00D45FC7" w:rsidRDefault="00DD30A2" w:rsidP="009E69E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s-PR"/>
              </w:rPr>
            </w:pPr>
            <w:r w:rsidRPr="005104E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  <w:t>ÁREA ENCARGADA</w:t>
            </w:r>
          </w:p>
        </w:tc>
        <w:tc>
          <w:tcPr>
            <w:tcW w:w="7015" w:type="dxa"/>
            <w:shd w:val="clear" w:color="auto" w:fill="31C9BB"/>
          </w:tcPr>
          <w:p w14:paraId="5637930F" w14:textId="77777777" w:rsidR="009E69EF" w:rsidRPr="00D45FC7" w:rsidRDefault="009E69EF" w:rsidP="009E69EF">
            <w:pPr>
              <w:pStyle w:val="ListParagraph"/>
              <w:ind w:left="42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</w:pPr>
          </w:p>
          <w:p w14:paraId="2D117AF8" w14:textId="77777777" w:rsidR="009E69EF" w:rsidRPr="00D45FC7" w:rsidRDefault="009E69EF" w:rsidP="009E69EF">
            <w:pPr>
              <w:pStyle w:val="ListParagraph"/>
              <w:ind w:left="42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  <w:t>PROCESO</w:t>
            </w:r>
          </w:p>
          <w:p w14:paraId="12A751BD" w14:textId="77777777" w:rsidR="009E69EF" w:rsidRPr="00D45FC7" w:rsidRDefault="009E69EF" w:rsidP="009E69EF">
            <w:pPr>
              <w:pStyle w:val="ListParagraph"/>
              <w:ind w:left="438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s-PR"/>
              </w:rPr>
            </w:pPr>
          </w:p>
        </w:tc>
      </w:tr>
      <w:tr w:rsidR="009E69EF" w:rsidRPr="008F75CF" w14:paraId="46756481" w14:textId="77777777" w:rsidTr="00D45FC7">
        <w:tc>
          <w:tcPr>
            <w:tcW w:w="2335" w:type="dxa"/>
            <w:vMerge w:val="restart"/>
            <w:shd w:val="clear" w:color="auto" w:fill="F2F2F2" w:themeFill="background1" w:themeFillShade="F2"/>
          </w:tcPr>
          <w:p w14:paraId="2E924EA7" w14:textId="77777777" w:rsidR="009E69EF" w:rsidRPr="00D45FC7" w:rsidRDefault="009E69EF" w:rsidP="009E69E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Escuela pública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3DE015EA" w14:textId="77777777" w:rsidR="009E69EF" w:rsidRPr="00D45FC7" w:rsidRDefault="009E69EF" w:rsidP="00CA46CD">
            <w:pPr>
              <w:pStyle w:val="ListParagraph"/>
              <w:numPr>
                <w:ilvl w:val="0"/>
                <w:numId w:val="6"/>
              </w:numPr>
              <w:ind w:left="438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Completa el documento 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 xml:space="preserve">Estudio de Necesidades del Programa de </w:t>
            </w:r>
            <w:r w:rsidRPr="00D45FC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PR"/>
              </w:rPr>
              <w:t xml:space="preserve">Immediate Aid Restart School Operations 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(Restart)</w:t>
            </w:r>
            <w:r w:rsidR="00076F47"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 xml:space="preserve"> en la </w:t>
            </w:r>
            <w:r w:rsidR="00076F47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plataforma del Plan </w:t>
            </w:r>
            <w:r w:rsidR="006F0429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Escolar o</w:t>
            </w:r>
            <w:r w:rsidR="00076F47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DEE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.</w:t>
            </w:r>
          </w:p>
          <w:p w14:paraId="58B58327" w14:textId="77777777" w:rsidR="002F7C64" w:rsidRPr="00D45FC7" w:rsidRDefault="002F7C64" w:rsidP="002F7C64">
            <w:pPr>
              <w:pStyle w:val="ListParagraph"/>
              <w:ind w:left="438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9E69EF" w:rsidRPr="008F75CF" w14:paraId="284977C1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209D93F0" w14:textId="77777777" w:rsidR="009E69EF" w:rsidRPr="00D45FC7" w:rsidRDefault="009E69EF" w:rsidP="009E69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58412751" w14:textId="77777777" w:rsidR="009E69EF" w:rsidRPr="00D45FC7" w:rsidRDefault="009E69EF" w:rsidP="00D06CFF">
            <w:pPr>
              <w:pStyle w:val="ListParagraph"/>
              <w:numPr>
                <w:ilvl w:val="0"/>
                <w:numId w:val="6"/>
              </w:numPr>
              <w:ind w:left="438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Anej</w:t>
            </w:r>
            <w:r w:rsidR="003D708B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a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el Estudio de Necesidades en el Diseño de Excelencia Escolar (DEE) 2018-2019.</w:t>
            </w:r>
          </w:p>
          <w:p w14:paraId="568E330E" w14:textId="77777777" w:rsidR="00E7146A" w:rsidRPr="00D45FC7" w:rsidRDefault="00E7146A" w:rsidP="00E7146A">
            <w:pPr>
              <w:pStyle w:val="ListParagraph"/>
              <w:ind w:left="438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</w:p>
        </w:tc>
      </w:tr>
      <w:tr w:rsidR="005D646B" w:rsidRPr="00967D8C" w14:paraId="4046CE7C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2583EE86" w14:textId="77777777" w:rsidR="005D646B" w:rsidRPr="00D45FC7" w:rsidRDefault="005D646B" w:rsidP="009E69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51624220" w14:textId="77777777" w:rsidR="005D646B" w:rsidRPr="00D45FC7" w:rsidRDefault="005D646B" w:rsidP="007537C5">
            <w:pPr>
              <w:pStyle w:val="ListParagraph"/>
              <w:numPr>
                <w:ilvl w:val="0"/>
                <w:numId w:val="6"/>
              </w:numPr>
              <w:ind w:left="438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Completa las Certificaciones 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Restart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</w:t>
            </w:r>
            <w:r w:rsidR="000C5C2B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incluidas en la plataforma del DEE.  Ver </w:t>
            </w:r>
            <w:r w:rsidR="000C5C2B"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Anejo E</w:t>
            </w:r>
            <w:r w:rsidR="000C5C2B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.</w:t>
            </w:r>
          </w:p>
          <w:p w14:paraId="418FAF59" w14:textId="77777777" w:rsidR="002F2AE0" w:rsidRPr="00D45FC7" w:rsidRDefault="002F2AE0" w:rsidP="002F2AE0">
            <w:pPr>
              <w:pStyle w:val="ListParagraph"/>
              <w:ind w:left="438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9E69EF" w:rsidRPr="00F662E0" w14:paraId="16FF6257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776C4D20" w14:textId="77777777" w:rsidR="009E69EF" w:rsidRPr="00D45FC7" w:rsidRDefault="009E69EF" w:rsidP="009E69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10D7BBEA" w14:textId="516AA88E" w:rsidR="009E69EF" w:rsidRPr="00D45FC7" w:rsidRDefault="009E69EF" w:rsidP="007537C5">
            <w:pPr>
              <w:pStyle w:val="ListParagraph"/>
              <w:numPr>
                <w:ilvl w:val="0"/>
                <w:numId w:val="6"/>
              </w:numPr>
              <w:ind w:left="42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Realiza el presupuesto de acuerdo con las partidas permitidas.  Para obtener el detalle de las partidas permitidas, refiérase al documento</w:t>
            </w:r>
            <w:r w:rsidR="00DB7122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Requisitos para la Implementación de Fondos Restart</w:t>
            </w:r>
            <w:r w:rsidR="00BE4B76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.</w:t>
            </w:r>
            <w:r w:rsidR="002F2AE0"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 xml:space="preserve"> </w:t>
            </w:r>
            <w:r w:rsidR="00BE4B76" w:rsidRPr="00BE4B76">
              <w:rPr>
                <w:rFonts w:ascii="Times New Roman" w:hAnsi="Times New Roman" w:cs="Times New Roman"/>
                <w:iCs/>
                <w:sz w:val="22"/>
                <w:szCs w:val="22"/>
                <w:lang w:val="es-PR"/>
              </w:rPr>
              <w:t>V</w:t>
            </w:r>
            <w:r w:rsidR="002F2AE0" w:rsidRPr="00BE4B76">
              <w:rPr>
                <w:rFonts w:ascii="Times New Roman" w:hAnsi="Times New Roman" w:cs="Times New Roman"/>
                <w:iCs/>
                <w:sz w:val="22"/>
                <w:szCs w:val="22"/>
                <w:lang w:val="es-PR"/>
              </w:rPr>
              <w:t>er</w:t>
            </w:r>
            <w:r w:rsidR="002F2AE0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</w:t>
            </w:r>
            <w:r w:rsidR="002F2AE0"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Anejo F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.</w:t>
            </w:r>
          </w:p>
          <w:p w14:paraId="3F50BA14" w14:textId="77777777" w:rsidR="009E69EF" w:rsidRPr="00D45FC7" w:rsidRDefault="009E69EF" w:rsidP="009E69EF">
            <w:pPr>
              <w:pStyle w:val="ListParagraph"/>
              <w:ind w:left="42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9E69EF" w:rsidRPr="00967D8C" w14:paraId="1C502E92" w14:textId="77777777" w:rsidTr="00D45FC7">
        <w:tc>
          <w:tcPr>
            <w:tcW w:w="2335" w:type="dxa"/>
            <w:shd w:val="clear" w:color="auto" w:fill="F2F2F2" w:themeFill="background1" w:themeFillShade="F2"/>
          </w:tcPr>
          <w:p w14:paraId="5E6C6B9C" w14:textId="77777777" w:rsidR="009E69EF" w:rsidRPr="00D45FC7" w:rsidRDefault="009E69EF" w:rsidP="007F4EB1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Oficinas Regionales Educativas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00692EDF" w14:textId="77777777" w:rsidR="009E69EF" w:rsidRPr="00D45FC7" w:rsidRDefault="009E69EF" w:rsidP="007537C5">
            <w:pPr>
              <w:pStyle w:val="ListParagraph"/>
              <w:numPr>
                <w:ilvl w:val="0"/>
                <w:numId w:val="6"/>
              </w:numPr>
              <w:ind w:left="438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Los evaluadores y ratificadores destacados en las Oficinas Regionales Educativas (ORE) revisan el Estudio de Necesidades sometido en el DEE.</w:t>
            </w:r>
            <w:r w:rsidR="00FA44A6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Evalúan (en dos rondas de evaluación) para determinar la aprobación o denegación de la solicitud.  Para ver los criterios de evaluación de la solicitud, refiérase a</w:t>
            </w:r>
            <w:r w:rsidR="0046692D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la sección sobre uso de fondos </w:t>
            </w:r>
            <w:r w:rsidR="0046692D"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Restart</w:t>
            </w:r>
            <w:r w:rsidR="0046692D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del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documento 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Evaluación Programática y Fiscal Diseño de Excelencia Escolar (DEE).</w:t>
            </w:r>
            <w:r w:rsidR="004720D7"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 xml:space="preserve"> </w:t>
            </w:r>
            <w:r w:rsidR="004720D7" w:rsidRPr="00BE4B76">
              <w:rPr>
                <w:rFonts w:ascii="Times New Roman" w:hAnsi="Times New Roman" w:cs="Times New Roman"/>
                <w:iCs/>
                <w:sz w:val="22"/>
                <w:szCs w:val="22"/>
                <w:lang w:val="es-PR"/>
              </w:rPr>
              <w:t>Ver</w:t>
            </w:r>
            <w:r w:rsidR="004720D7"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 xml:space="preserve"> </w:t>
            </w:r>
            <w:r w:rsidR="004720D7"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Anejo G</w:t>
            </w:r>
            <w:r w:rsidR="004720D7"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.</w:t>
            </w:r>
          </w:p>
          <w:p w14:paraId="5E37C367" w14:textId="77777777" w:rsidR="003D708B" w:rsidRPr="00D45FC7" w:rsidRDefault="003D708B" w:rsidP="003D708B">
            <w:pPr>
              <w:pStyle w:val="ListParagraph"/>
              <w:ind w:left="438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9E69EF" w:rsidRPr="008F75CF" w14:paraId="1703BC16" w14:textId="77777777" w:rsidTr="00D45FC7">
        <w:tc>
          <w:tcPr>
            <w:tcW w:w="2335" w:type="dxa"/>
            <w:shd w:val="clear" w:color="auto" w:fill="F2F2F2" w:themeFill="background1" w:themeFillShade="F2"/>
          </w:tcPr>
          <w:p w14:paraId="4B176B55" w14:textId="77777777" w:rsidR="009E69EF" w:rsidRPr="00D45FC7" w:rsidRDefault="0046692D" w:rsidP="007F4EB1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Oficiales Fiscales</w:t>
            </w:r>
            <w:r w:rsidRPr="00D45FC7"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  <w:t xml:space="preserve">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Programa 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Schoolwide</w:t>
            </w:r>
          </w:p>
          <w:p w14:paraId="5C7D82FB" w14:textId="77777777" w:rsidR="007F4EB1" w:rsidRPr="00D45FC7" w:rsidRDefault="007F4EB1" w:rsidP="009E69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5616AEA0" w14:textId="77777777" w:rsidR="009E69EF" w:rsidRPr="00D45FC7" w:rsidRDefault="0046692D" w:rsidP="007537C5">
            <w:pPr>
              <w:pStyle w:val="ListParagraph"/>
              <w:numPr>
                <w:ilvl w:val="0"/>
                <w:numId w:val="6"/>
              </w:numPr>
              <w:ind w:left="438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Verifica y a</w:t>
            </w:r>
            <w:r w:rsidR="003D708B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prueba</w:t>
            </w:r>
            <w:r w:rsidR="009E69EF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el </w:t>
            </w:r>
            <w:r w:rsidR="009E69EF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presupuesto por partidas</w:t>
            </w:r>
            <w:r w:rsidR="00873B6F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,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sometido por la escuela.</w:t>
            </w:r>
          </w:p>
          <w:p w14:paraId="3F3608FE" w14:textId="77777777" w:rsidR="002447F4" w:rsidRPr="00D45FC7" w:rsidRDefault="002447F4" w:rsidP="002447F4">
            <w:pPr>
              <w:pStyle w:val="ListParagraph"/>
              <w:ind w:left="438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9E69EF" w:rsidRPr="008F75CF" w14:paraId="61652CE3" w14:textId="77777777" w:rsidTr="00D45FC7">
        <w:tc>
          <w:tcPr>
            <w:tcW w:w="2335" w:type="dxa"/>
            <w:shd w:val="clear" w:color="auto" w:fill="F2F2F2" w:themeFill="background1" w:themeFillShade="F2"/>
          </w:tcPr>
          <w:p w14:paraId="05535A3C" w14:textId="77777777" w:rsidR="009E69EF" w:rsidRPr="00D45FC7" w:rsidRDefault="009E69EF" w:rsidP="009E69E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Escuela pública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69B952C9" w14:textId="77777777" w:rsidR="009E69EF" w:rsidRPr="00D45FC7" w:rsidRDefault="009E69EF" w:rsidP="007537C5">
            <w:pPr>
              <w:pStyle w:val="ListParagraph"/>
              <w:numPr>
                <w:ilvl w:val="0"/>
                <w:numId w:val="6"/>
              </w:numPr>
              <w:ind w:left="438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Realiza la requisición de compra de materiales</w:t>
            </w:r>
            <w:r w:rsidR="0046692D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y equipo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a través de SIFDE.</w:t>
            </w:r>
          </w:p>
          <w:p w14:paraId="05A9E28F" w14:textId="77777777" w:rsidR="009E69EF" w:rsidRPr="00D45FC7" w:rsidRDefault="009E69EF" w:rsidP="009E69EF">
            <w:pPr>
              <w:pStyle w:val="ListParagraph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DE38C8" w:rsidRPr="008F75CF" w14:paraId="1509FD27" w14:textId="77777777" w:rsidTr="00D45FC7">
        <w:tc>
          <w:tcPr>
            <w:tcW w:w="2335" w:type="dxa"/>
            <w:vMerge w:val="restart"/>
            <w:shd w:val="clear" w:color="auto" w:fill="F2F2F2" w:themeFill="background1" w:themeFillShade="F2"/>
          </w:tcPr>
          <w:p w14:paraId="0177EF5D" w14:textId="77777777" w:rsidR="00DE38C8" w:rsidRPr="00D45FC7" w:rsidRDefault="00DE38C8" w:rsidP="0046692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Programa 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Schoolwide</w:t>
            </w:r>
          </w:p>
          <w:p w14:paraId="71266FAA" w14:textId="77777777" w:rsidR="00DE38C8" w:rsidRPr="00D45FC7" w:rsidRDefault="00DE38C8" w:rsidP="0046692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6A96C564" w14:textId="77777777" w:rsidR="00DE38C8" w:rsidRPr="00D45FC7" w:rsidRDefault="00DE38C8" w:rsidP="007537C5">
            <w:pPr>
              <w:pStyle w:val="ListParagraph"/>
              <w:numPr>
                <w:ilvl w:val="0"/>
                <w:numId w:val="6"/>
              </w:numPr>
              <w:ind w:left="438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Según corresponda, evalúa la permisibilidad de la compra de equipo. </w:t>
            </w:r>
          </w:p>
          <w:p w14:paraId="351F83A4" w14:textId="77777777" w:rsidR="00DE38C8" w:rsidRPr="00D45FC7" w:rsidRDefault="00DE38C8" w:rsidP="00D54E09">
            <w:pPr>
              <w:pStyle w:val="ListParagraph"/>
              <w:ind w:left="438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DE38C8" w:rsidRPr="008F75CF" w14:paraId="1D375C43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3B417B17" w14:textId="77777777" w:rsidR="00DE38C8" w:rsidRPr="00D45FC7" w:rsidRDefault="00DE38C8" w:rsidP="00DE38C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5A1BE47D" w14:textId="77777777" w:rsidR="00DE38C8" w:rsidRPr="00D45FC7" w:rsidRDefault="00DE38C8" w:rsidP="007537C5">
            <w:pPr>
              <w:pStyle w:val="ListParagraph"/>
              <w:numPr>
                <w:ilvl w:val="0"/>
                <w:numId w:val="6"/>
              </w:numPr>
              <w:ind w:left="438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Verifica en el inventario físico activo para validar que realmente el equipo solicitado sea necesario. Se verifica existencia del equipo solicitado, cantidad, equipo decomisado, hurtado, etc.  </w:t>
            </w:r>
          </w:p>
          <w:p w14:paraId="7B198605" w14:textId="77777777" w:rsidR="00DE38C8" w:rsidRPr="00D45FC7" w:rsidRDefault="00DE38C8" w:rsidP="00D54E09">
            <w:pPr>
              <w:pStyle w:val="ListParagraph"/>
              <w:ind w:left="438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DE38C8" w:rsidRPr="008F75CF" w14:paraId="66B02179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6FDB4649" w14:textId="77777777" w:rsidR="00DE38C8" w:rsidRPr="00D45FC7" w:rsidRDefault="00DE38C8" w:rsidP="00DE38C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4A245774" w14:textId="77777777" w:rsidR="00DE38C8" w:rsidRPr="00D45FC7" w:rsidRDefault="00DE38C8" w:rsidP="007537C5">
            <w:pPr>
              <w:pStyle w:val="ListParagraph"/>
              <w:numPr>
                <w:ilvl w:val="0"/>
                <w:numId w:val="6"/>
              </w:numPr>
              <w:ind w:left="438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Aprueba o deniega la solicitud de compra de equipo. En caso de aprobación, envía la requisición a la Oficina de Compras del DEPR a través de SIFDE.</w:t>
            </w:r>
          </w:p>
          <w:p w14:paraId="6F3BDD92" w14:textId="77777777" w:rsidR="00DE38C8" w:rsidRPr="00D45FC7" w:rsidRDefault="00DE38C8" w:rsidP="00D54E09">
            <w:pPr>
              <w:pStyle w:val="ListParagraph"/>
              <w:ind w:left="438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DE38C8" w:rsidRPr="008F75CF" w14:paraId="0CFBEF8D" w14:textId="77777777" w:rsidTr="00D45FC7">
        <w:tc>
          <w:tcPr>
            <w:tcW w:w="2335" w:type="dxa"/>
            <w:shd w:val="clear" w:color="auto" w:fill="F2F2F2" w:themeFill="background1" w:themeFillShade="F2"/>
          </w:tcPr>
          <w:p w14:paraId="0E010D7B" w14:textId="77777777" w:rsidR="00DE38C8" w:rsidRPr="00D45FC7" w:rsidRDefault="00DE38C8" w:rsidP="00DE38C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Oficina de Compras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596ED816" w14:textId="52D6731E" w:rsidR="00DE38C8" w:rsidRPr="00D45FC7" w:rsidRDefault="00DE38C8" w:rsidP="00DB0F5D">
            <w:pPr>
              <w:pStyle w:val="ListParagraph"/>
              <w:numPr>
                <w:ilvl w:val="0"/>
                <w:numId w:val="35"/>
              </w:numPr>
              <w:ind w:left="43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Según corresponda, recibe las requisiciones (</w:t>
            </w:r>
            <w:r w:rsidR="009C4CD5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preaprobadas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en el DEE), evalúa y realiza las compras de materiales y equipo, de acuerdo con el proceso establecido en el</w:t>
            </w:r>
            <w:r w:rsidR="000A5970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</w:t>
            </w:r>
            <w:r w:rsidR="002E375D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“</w:t>
            </w:r>
            <w:r w:rsidR="000A5970"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Reglamento Uniforme de Compras y Subastas de Bienes, Obras y Servicios No Profesionales de la Administración de Servicios Generales (ASG) del Gobierno de Puerto Rico” (Reglamento 9230 del 18 de noviembre de 2020), el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“Reglamento para la Adquisición, Ventas y Subastas de Bienes, Obras y Servicios no personales del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lastRenderedPageBreak/>
              <w:t>Departamento de Educación (Reglamento 7040)</w:t>
            </w:r>
            <w:r w:rsidR="00A50FD4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,</w:t>
            </w:r>
            <w:r w:rsidR="00977962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la Carta Circular 001-2021 del 11 de enero de 2021 de la Oficina de Gerencia y Presupuesto para “Medidas de Control de Responsabilidad Fiscal Relacionadas con le Contratación y el Procedimiento para la Autorización previa de Contratos de Servicios Profesionales o Comprados en exceso de $10,000”. </w:t>
            </w:r>
            <w:r w:rsidR="00A50FD4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.</w:t>
            </w:r>
          </w:p>
          <w:p w14:paraId="0C64AADF" w14:textId="77777777" w:rsidR="00DE38C8" w:rsidRPr="00D45FC7" w:rsidRDefault="00DE38C8" w:rsidP="00DE38C8">
            <w:pPr>
              <w:pStyle w:val="ListParagraph"/>
              <w:ind w:left="438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DE38C8" w:rsidRPr="008F75CF" w14:paraId="6D0FD517" w14:textId="77777777" w:rsidTr="00D45FC7">
        <w:trPr>
          <w:trHeight w:val="2672"/>
        </w:trPr>
        <w:tc>
          <w:tcPr>
            <w:tcW w:w="2335" w:type="dxa"/>
            <w:vMerge w:val="restart"/>
            <w:shd w:val="clear" w:color="auto" w:fill="F2F2F2" w:themeFill="background1" w:themeFillShade="F2"/>
          </w:tcPr>
          <w:p w14:paraId="3821B317" w14:textId="77777777" w:rsidR="00DE38C8" w:rsidRPr="00D45FC7" w:rsidRDefault="00DE38C8" w:rsidP="00DE38C8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lastRenderedPageBreak/>
              <w:t>División de Propiedad</w:t>
            </w:r>
          </w:p>
          <w:p w14:paraId="7FE03C0A" w14:textId="77777777" w:rsidR="00DE38C8" w:rsidRPr="00D45FC7" w:rsidRDefault="00DE38C8" w:rsidP="00DE38C8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(Aplica en la adquisición de equipo capitalizable y no capitalizable)</w:t>
            </w:r>
          </w:p>
          <w:p w14:paraId="586C3ECC" w14:textId="77777777" w:rsidR="00DE38C8" w:rsidRPr="00D45FC7" w:rsidRDefault="00DE38C8" w:rsidP="00DE38C8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4BB1F8FE" w14:textId="77777777" w:rsidR="00DE38C8" w:rsidRPr="00D45FC7" w:rsidRDefault="00DE38C8" w:rsidP="00DE38C8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05A9FCCC" w14:textId="77777777" w:rsidR="00DE38C8" w:rsidRPr="00D45FC7" w:rsidRDefault="00DE38C8" w:rsidP="00DE38C8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6553CD63" w14:textId="77777777" w:rsidR="00DE38C8" w:rsidRPr="00D45FC7" w:rsidRDefault="00DE38C8" w:rsidP="00DE38C8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5AFB4068" w14:textId="77777777" w:rsidR="00DE38C8" w:rsidRPr="00D45FC7" w:rsidRDefault="00DE38C8" w:rsidP="00DE38C8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73E2AFC4" w14:textId="77777777" w:rsidR="00DE38C8" w:rsidRPr="00D45FC7" w:rsidRDefault="00DE38C8" w:rsidP="00DE38C8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5A7DF82C" w14:textId="77777777" w:rsidR="00DE38C8" w:rsidRPr="00D45FC7" w:rsidRDefault="00DE38C8" w:rsidP="00DE38C8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2DA6A77F" w14:textId="77777777" w:rsidR="00DE38C8" w:rsidRPr="00D45FC7" w:rsidRDefault="00DE38C8" w:rsidP="00DE38C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6D74821C" w14:textId="77777777" w:rsidR="00DE38C8" w:rsidRPr="00D45FC7" w:rsidRDefault="00DE38C8" w:rsidP="00DB0F5D">
            <w:pPr>
              <w:pStyle w:val="ListParagraph"/>
              <w:numPr>
                <w:ilvl w:val="0"/>
                <w:numId w:val="36"/>
              </w:numPr>
              <w:ind w:left="43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Completa el proceso establecido en la sección VIII, Adquisición y Contabilización de Propiedad en el “Procedimiento para el Control y Contabilidad de la propiedad del Departamento de Educación” del 21 de junio de 2006 de la División de Propiedad. Como regla general: </w:t>
            </w:r>
          </w:p>
          <w:p w14:paraId="29B0573F" w14:textId="77777777" w:rsidR="00DE38C8" w:rsidRPr="00D45FC7" w:rsidRDefault="00DE38C8" w:rsidP="007537C5">
            <w:pPr>
              <w:pStyle w:val="ListParagraph"/>
              <w:numPr>
                <w:ilvl w:val="0"/>
                <w:numId w:val="5"/>
              </w:numPr>
              <w:ind w:left="79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Serán capitalizados todos los bienes muebles e inmuebles, cuyo costo unitario sea quinientos dólares ($500.00) o más y cuya vida útil sea mayor a dos (2) años. Ambas condiciones deben existir. Estos serán clasificados en las cuentas de gastos E5000, según corresponda.</w:t>
            </w:r>
          </w:p>
        </w:tc>
      </w:tr>
      <w:tr w:rsidR="00DE38C8" w:rsidRPr="008F75CF" w14:paraId="17167B39" w14:textId="77777777" w:rsidTr="00D45FC7">
        <w:trPr>
          <w:trHeight w:val="1628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136EBEF5" w14:textId="77777777" w:rsidR="00DE38C8" w:rsidRPr="00D45FC7" w:rsidRDefault="00DE38C8" w:rsidP="00DE38C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1AA06A30" w14:textId="77777777" w:rsidR="00DE38C8" w:rsidRPr="00D45FC7" w:rsidRDefault="00DE38C8" w:rsidP="00DB0F5D">
            <w:pPr>
              <w:pStyle w:val="ListParagraph"/>
              <w:numPr>
                <w:ilvl w:val="0"/>
                <w:numId w:val="36"/>
              </w:numPr>
              <w:ind w:left="43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El equipo capitalizable (E5000) y el equipo no capitalizable (E4414) adquiridos con fondos del program</w:t>
            </w:r>
            <w:r w:rsidR="00396717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a.  Este será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rotulado con el número que le asigna el Sistema de Registro de la Propiedad, según lo establece la Sección X del “Procedimiento para el Control y Contabilidad de la propiedad del Departamento de Educación”.</w:t>
            </w:r>
          </w:p>
        </w:tc>
      </w:tr>
      <w:tr w:rsidR="00DE38C8" w:rsidRPr="008F75CF" w14:paraId="12AAF520" w14:textId="77777777" w:rsidTr="00D45FC7">
        <w:trPr>
          <w:trHeight w:val="1142"/>
        </w:trPr>
        <w:tc>
          <w:tcPr>
            <w:tcW w:w="2335" w:type="dxa"/>
            <w:vMerge/>
            <w:shd w:val="clear" w:color="auto" w:fill="F2F2F2" w:themeFill="background1" w:themeFillShade="F2"/>
          </w:tcPr>
          <w:p w14:paraId="5481EDA2" w14:textId="77777777" w:rsidR="00DE38C8" w:rsidRPr="00D45FC7" w:rsidRDefault="00DE38C8" w:rsidP="00DE38C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178634F9" w14:textId="77777777" w:rsidR="00DE38C8" w:rsidRPr="00D45FC7" w:rsidRDefault="00DE38C8" w:rsidP="00DB0F5D">
            <w:pPr>
              <w:pStyle w:val="ListParagraph"/>
              <w:numPr>
                <w:ilvl w:val="0"/>
                <w:numId w:val="36"/>
              </w:numPr>
              <w:ind w:left="43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Realizan inventarios físicos anuales, según lo establece la sección VI, Responsabilidades y Deberes del “Procedimiento para el Control y Contabilidad de la propiedad del Departamento de Educación”.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ab/>
            </w:r>
          </w:p>
        </w:tc>
      </w:tr>
      <w:bookmarkEnd w:id="1"/>
    </w:tbl>
    <w:p w14:paraId="438A76BC" w14:textId="77777777" w:rsidR="00875199" w:rsidRPr="00D45FC7" w:rsidRDefault="00875199" w:rsidP="00F40D2B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s-PR"/>
        </w:rPr>
      </w:pPr>
    </w:p>
    <w:p w14:paraId="31F9E749" w14:textId="77777777" w:rsidR="007B417E" w:rsidRPr="00D45FC7" w:rsidRDefault="007B417E" w:rsidP="005C1435">
      <w:pPr>
        <w:jc w:val="both"/>
        <w:rPr>
          <w:rFonts w:ascii="Times New Roman" w:hAnsi="Times New Roman" w:cs="Times New Roman"/>
          <w:sz w:val="22"/>
          <w:szCs w:val="22"/>
          <w:lang w:val="es-PR"/>
        </w:rPr>
      </w:pPr>
    </w:p>
    <w:p w14:paraId="5B2A9EF4" w14:textId="77777777" w:rsidR="007B417E" w:rsidRPr="00D45FC7" w:rsidRDefault="007B417E" w:rsidP="007537C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  <w:lang w:val="es-PR"/>
        </w:rPr>
      </w:pPr>
      <w:r w:rsidRPr="00D45FC7">
        <w:rPr>
          <w:rFonts w:ascii="Times New Roman" w:hAnsi="Times New Roman" w:cs="Times New Roman"/>
          <w:b/>
          <w:sz w:val="22"/>
          <w:szCs w:val="22"/>
          <w:lang w:val="es-PR"/>
        </w:rPr>
        <w:t>Procesos fiscales aplicables a las escuelas privadas</w:t>
      </w:r>
      <w:r w:rsidR="00607D20" w:rsidRPr="00D45FC7">
        <w:rPr>
          <w:rFonts w:ascii="Times New Roman" w:hAnsi="Times New Roman" w:cs="Times New Roman"/>
          <w:b/>
          <w:sz w:val="22"/>
          <w:szCs w:val="22"/>
          <w:lang w:val="es-PR"/>
        </w:rPr>
        <w:t>.</w:t>
      </w:r>
    </w:p>
    <w:p w14:paraId="0D20E2C4" w14:textId="77777777" w:rsidR="00C3158F" w:rsidRPr="00D45FC7" w:rsidRDefault="00C3158F" w:rsidP="00C3158F">
      <w:pPr>
        <w:ind w:left="720"/>
        <w:jc w:val="both"/>
        <w:rPr>
          <w:rFonts w:ascii="Times New Roman" w:hAnsi="Times New Roman" w:cs="Times New Roman"/>
          <w:b/>
          <w:sz w:val="22"/>
          <w:szCs w:val="22"/>
          <w:lang w:val="es-PR"/>
        </w:rPr>
      </w:pPr>
      <w:r w:rsidRPr="00D45FC7">
        <w:rPr>
          <w:rFonts w:ascii="Times New Roman" w:hAnsi="Times New Roman" w:cs="Times New Roman"/>
          <w:b/>
          <w:sz w:val="22"/>
          <w:szCs w:val="22"/>
          <w:lang w:val="es-PR"/>
        </w:rPr>
        <w:t>G.1</w:t>
      </w:r>
      <w:r w:rsidR="009F2776" w:rsidRPr="00D45FC7">
        <w:rPr>
          <w:rFonts w:ascii="Times New Roman" w:hAnsi="Times New Roman" w:cs="Times New Roman"/>
          <w:b/>
          <w:sz w:val="22"/>
          <w:szCs w:val="22"/>
          <w:lang w:val="es-PR"/>
        </w:rPr>
        <w:t>.</w:t>
      </w:r>
      <w:r w:rsidR="00A828E0" w:rsidRPr="00D45FC7">
        <w:rPr>
          <w:rFonts w:ascii="Times New Roman" w:hAnsi="Times New Roman" w:cs="Times New Roman"/>
          <w:b/>
          <w:sz w:val="22"/>
          <w:szCs w:val="22"/>
          <w:lang w:val="es-PR"/>
        </w:rPr>
        <w:t xml:space="preserve"> Solicitud de Adquisición de Bienes y Servicios</w:t>
      </w:r>
      <w:r w:rsidR="00835D50" w:rsidRPr="00D45FC7">
        <w:rPr>
          <w:rFonts w:ascii="Times New Roman" w:hAnsi="Times New Roman" w:cs="Times New Roman"/>
          <w:b/>
          <w:sz w:val="22"/>
          <w:szCs w:val="22"/>
          <w:lang w:val="es-PR"/>
        </w:rPr>
        <w:t xml:space="preserve"> – escuelas privadas</w:t>
      </w:r>
      <w:r w:rsidR="00607D20" w:rsidRPr="00D45FC7">
        <w:rPr>
          <w:rFonts w:ascii="Times New Roman" w:hAnsi="Times New Roman" w:cs="Times New Roman"/>
          <w:b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B417E" w:rsidRPr="00967D8C" w14:paraId="411C59D1" w14:textId="77777777" w:rsidTr="00D45FC7">
        <w:trPr>
          <w:tblHeader/>
        </w:trPr>
        <w:tc>
          <w:tcPr>
            <w:tcW w:w="2335" w:type="dxa"/>
            <w:shd w:val="clear" w:color="auto" w:fill="31C9BB"/>
          </w:tcPr>
          <w:p w14:paraId="41A830CD" w14:textId="77777777" w:rsidR="007B417E" w:rsidRPr="00D45FC7" w:rsidRDefault="007B417E" w:rsidP="0075067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</w:pPr>
          </w:p>
          <w:p w14:paraId="6C64F9C4" w14:textId="12A7F9EF" w:rsidR="007B417E" w:rsidRPr="00D45FC7" w:rsidRDefault="00DD30A2" w:rsidP="007506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s-PR"/>
              </w:rPr>
            </w:pPr>
            <w:r w:rsidRPr="005104E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  <w:t>ÁREA ENCARGADA</w:t>
            </w:r>
          </w:p>
        </w:tc>
        <w:tc>
          <w:tcPr>
            <w:tcW w:w="7015" w:type="dxa"/>
            <w:shd w:val="clear" w:color="auto" w:fill="31C9BB"/>
          </w:tcPr>
          <w:p w14:paraId="78CED779" w14:textId="77777777" w:rsidR="007B417E" w:rsidRPr="00D45FC7" w:rsidRDefault="007B417E" w:rsidP="00750674">
            <w:pPr>
              <w:pStyle w:val="ListParagraph"/>
              <w:ind w:left="42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</w:pPr>
          </w:p>
          <w:p w14:paraId="322D4627" w14:textId="77777777" w:rsidR="007B417E" w:rsidRPr="00D45FC7" w:rsidRDefault="007B417E" w:rsidP="00750674">
            <w:pPr>
              <w:pStyle w:val="ListParagraph"/>
              <w:ind w:left="42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  <w:t>PROCESO</w:t>
            </w:r>
          </w:p>
          <w:p w14:paraId="0DE91020" w14:textId="77777777" w:rsidR="007B417E" w:rsidRPr="00D45FC7" w:rsidRDefault="007B417E" w:rsidP="00750674">
            <w:pPr>
              <w:pStyle w:val="ListParagraph"/>
              <w:ind w:left="438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s-PR"/>
              </w:rPr>
            </w:pPr>
          </w:p>
        </w:tc>
      </w:tr>
      <w:tr w:rsidR="008359EF" w:rsidRPr="008F75CF" w14:paraId="073E81A3" w14:textId="77777777" w:rsidTr="00D45FC7">
        <w:tc>
          <w:tcPr>
            <w:tcW w:w="2335" w:type="dxa"/>
            <w:vMerge w:val="restart"/>
            <w:shd w:val="clear" w:color="auto" w:fill="F2F2F2" w:themeFill="background1" w:themeFillShade="F2"/>
          </w:tcPr>
          <w:p w14:paraId="77AE779F" w14:textId="77777777" w:rsidR="008359EF" w:rsidRPr="00D45FC7" w:rsidRDefault="008359EF" w:rsidP="007506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Escuela privada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7B3000A6" w14:textId="57046F14" w:rsidR="008359EF" w:rsidRPr="00D45FC7" w:rsidRDefault="008359EF" w:rsidP="00FD5C6D">
            <w:pPr>
              <w:pStyle w:val="ListParagraph"/>
              <w:numPr>
                <w:ilvl w:val="1"/>
                <w:numId w:val="7"/>
              </w:numPr>
              <w:ind w:left="25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Somete la “Solicitud de Adquisición de Bienes y Servicios” a la División de Servicios Equitativos</w:t>
            </w:r>
            <w:r w:rsidR="00766F80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(</w:t>
            </w:r>
            <w:r w:rsidR="00766F80"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Anejo J</w:t>
            </w:r>
            <w:r w:rsidR="00766F80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)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. </w:t>
            </w:r>
            <w:r w:rsidR="00766F80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Las actividades permitidas para escuelas privadas están detalladas en el Anejo K “Escuelas Privadas: Actividades Permisibles bajo el Programa de </w:t>
            </w:r>
            <w:r w:rsidR="00766F80"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Restart”</w:t>
            </w:r>
            <w:r w:rsidR="00766F80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.</w:t>
            </w:r>
          </w:p>
          <w:p w14:paraId="7B95E41A" w14:textId="77777777" w:rsidR="008359EF" w:rsidRPr="00D45FC7" w:rsidRDefault="008359EF" w:rsidP="001C3D92">
            <w:pPr>
              <w:pStyle w:val="ListParagraph"/>
              <w:ind w:left="43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3D7687A4" w14:textId="77777777" w:rsidR="008359EF" w:rsidRPr="00D45FC7" w:rsidRDefault="008359EF" w:rsidP="00766F80">
            <w:pPr>
              <w:pStyle w:val="ListParagraph"/>
              <w:ind w:left="25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8359EF" w:rsidRPr="008F75CF" w14:paraId="19530DB2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040002A4" w14:textId="77777777" w:rsidR="008359EF" w:rsidRPr="00D45FC7" w:rsidRDefault="008359EF" w:rsidP="007506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0F71F871" w14:textId="77777777" w:rsidR="008359EF" w:rsidRPr="00D45FC7" w:rsidRDefault="008359EF" w:rsidP="00FD5C6D">
            <w:pPr>
              <w:pStyle w:val="ListParagraph"/>
              <w:numPr>
                <w:ilvl w:val="1"/>
                <w:numId w:val="7"/>
              </w:numPr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Completa la Certificación de Uso de Fondos 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Restart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utilizando el </w:t>
            </w: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Anejo B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.  </w:t>
            </w:r>
          </w:p>
          <w:p w14:paraId="2254B6A2" w14:textId="77777777" w:rsidR="008359EF" w:rsidRPr="00D45FC7" w:rsidRDefault="008359EF" w:rsidP="00FD5C6D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26EF2571" w14:textId="5FB396E2" w:rsidR="008359EF" w:rsidRPr="00D45FC7" w:rsidRDefault="008359EF" w:rsidP="00FD5C6D">
            <w:pPr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PR"/>
              </w:rPr>
              <w:t>NOTA: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Las necesidades presentadas en la Solicitud de Adquisición de Bienes y Servicios no pueden haber sido objeto de reclamación alguna a una aseguradora privada o a la Agencia Federal para el Manejo de Emergencias (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FEMA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por sus siglas en inglés), por las cuales se haya recibido pagos o fondos.</w:t>
            </w:r>
          </w:p>
          <w:p w14:paraId="3F7C298E" w14:textId="77777777" w:rsidR="008359EF" w:rsidRPr="00D45FC7" w:rsidRDefault="008359EF" w:rsidP="00FD5C6D">
            <w:pPr>
              <w:pStyle w:val="ListParagraph"/>
              <w:ind w:left="43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0D1230" w:rsidRPr="008F75CF" w14:paraId="6FA507F2" w14:textId="77777777" w:rsidTr="00D45FC7">
        <w:tc>
          <w:tcPr>
            <w:tcW w:w="2335" w:type="dxa"/>
            <w:shd w:val="clear" w:color="auto" w:fill="F2F2F2" w:themeFill="background1" w:themeFillShade="F2"/>
          </w:tcPr>
          <w:p w14:paraId="224128BA" w14:textId="77777777" w:rsidR="000D1230" w:rsidRPr="00D45FC7" w:rsidRDefault="000D1230" w:rsidP="000D123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lastRenderedPageBreak/>
              <w:t>División de Servicios Equitativos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38C430DA" w14:textId="77777777" w:rsidR="003422AE" w:rsidRPr="00D45FC7" w:rsidRDefault="000D1230" w:rsidP="003422AE">
            <w:pPr>
              <w:pStyle w:val="ListParagraph"/>
              <w:numPr>
                <w:ilvl w:val="1"/>
                <w:numId w:val="7"/>
              </w:numPr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Evalúa la solicitud</w:t>
            </w:r>
            <w:r w:rsidR="0004688F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,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verifica que la necesidad presentada haya sido causada por el </w:t>
            </w:r>
            <w:r w:rsidR="003422AE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desastre y d</w:t>
            </w:r>
            <w:r w:rsidR="001235D4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etermina si cumplió con todos los requisitos</w:t>
            </w:r>
            <w:r w:rsidR="003422AE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:</w:t>
            </w:r>
          </w:p>
          <w:p w14:paraId="5992E765" w14:textId="77777777" w:rsidR="001235D4" w:rsidRPr="00D45FC7" w:rsidRDefault="001235D4" w:rsidP="001235D4">
            <w:pPr>
              <w:pStyle w:val="ListParagraph"/>
              <w:numPr>
                <w:ilvl w:val="2"/>
                <w:numId w:val="7"/>
              </w:numPr>
              <w:ind w:left="70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De aprobarse</w:t>
            </w:r>
            <w:r w:rsidR="00CD02F6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, </w:t>
            </w:r>
            <w:r w:rsidR="00FE2987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la Coordinadora </w:t>
            </w:r>
            <w:r w:rsidR="00FE3CFA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de la DSE </w:t>
            </w:r>
            <w:r w:rsidR="00CD02F6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firma </w:t>
            </w:r>
            <w:r w:rsidR="00FF7A7A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la aprobación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(se prosigue con los pasos </w:t>
            </w:r>
            <w:r w:rsidR="0004688F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4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al </w:t>
            </w:r>
            <w:r w:rsidR="008F089B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18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).</w:t>
            </w:r>
          </w:p>
          <w:p w14:paraId="73C4037A" w14:textId="77777777" w:rsidR="004056E2" w:rsidRPr="00D45FC7" w:rsidRDefault="001235D4" w:rsidP="003422AE">
            <w:pPr>
              <w:pStyle w:val="ListParagraph"/>
              <w:numPr>
                <w:ilvl w:val="2"/>
                <w:numId w:val="7"/>
              </w:numPr>
              <w:ind w:left="70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De denegarse (se devuelve la solicitud a la escuela privada para que realicen las modificaciones solicitadas y regresa al paso 1).</w:t>
            </w:r>
          </w:p>
          <w:p w14:paraId="41C64DD7" w14:textId="77777777" w:rsidR="005261C8" w:rsidRPr="00D45FC7" w:rsidRDefault="005261C8" w:rsidP="00FD5C6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1B299A" w:rsidRPr="008F75CF" w14:paraId="0824C94B" w14:textId="77777777" w:rsidTr="00D45FC7">
        <w:tc>
          <w:tcPr>
            <w:tcW w:w="2335" w:type="dxa"/>
            <w:vMerge w:val="restart"/>
            <w:shd w:val="clear" w:color="auto" w:fill="F2F2F2" w:themeFill="background1" w:themeFillShade="F2"/>
          </w:tcPr>
          <w:p w14:paraId="292EBCC3" w14:textId="77777777" w:rsidR="001B299A" w:rsidRPr="00D45FC7" w:rsidRDefault="001B299A" w:rsidP="000D123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Unidad Fiscal de la Secretaría Auxiliar de Asuntos Federales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010C4369" w14:textId="77777777" w:rsidR="001B299A" w:rsidRPr="00D45FC7" w:rsidRDefault="001B299A" w:rsidP="000D1230">
            <w:pPr>
              <w:pStyle w:val="ListParagraph"/>
              <w:numPr>
                <w:ilvl w:val="1"/>
                <w:numId w:val="7"/>
              </w:numPr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Valida la disponibilidad de los fondos del programa para procesar la solicitud</w:t>
            </w:r>
            <w:r w:rsidR="00DF46DC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y firma</w:t>
            </w:r>
            <w:r w:rsidR="00FE3CFA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la Coordinadora de la Unidad </w:t>
            </w:r>
            <w:r w:rsidR="00DB09E6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Fiscal de la SAAF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.</w:t>
            </w:r>
          </w:p>
          <w:p w14:paraId="4E82B9F5" w14:textId="77777777" w:rsidR="001B299A" w:rsidRPr="00D45FC7" w:rsidRDefault="001B299A" w:rsidP="001B299A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1B299A" w:rsidRPr="008F75CF" w14:paraId="22765E0A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064B06A9" w14:textId="77777777" w:rsidR="001B299A" w:rsidRPr="00D45FC7" w:rsidRDefault="001B299A" w:rsidP="000D123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074B2EA8" w14:textId="77777777" w:rsidR="001B299A" w:rsidRPr="00D45FC7" w:rsidRDefault="001B299A" w:rsidP="001B299A">
            <w:pPr>
              <w:pStyle w:val="ListParagraph"/>
              <w:numPr>
                <w:ilvl w:val="1"/>
                <w:numId w:val="7"/>
              </w:numPr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Refiere la Solicitud a la División de Servicios Equitativos.</w:t>
            </w:r>
          </w:p>
          <w:p w14:paraId="6A498B6A" w14:textId="77777777" w:rsidR="001B299A" w:rsidRPr="00D45FC7" w:rsidRDefault="001B299A" w:rsidP="001B299A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1B299A" w:rsidRPr="008F75CF" w14:paraId="355A1609" w14:textId="77777777" w:rsidTr="00D45FC7">
        <w:tc>
          <w:tcPr>
            <w:tcW w:w="2335" w:type="dxa"/>
            <w:shd w:val="clear" w:color="auto" w:fill="F2F2F2" w:themeFill="background1" w:themeFillShade="F2"/>
          </w:tcPr>
          <w:p w14:paraId="32027B21" w14:textId="77777777" w:rsidR="001B299A" w:rsidRPr="00D45FC7" w:rsidRDefault="00036BBC" w:rsidP="000D1230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División de Servicios Equitativ</w:t>
            </w:r>
            <w:r w:rsidR="0004688F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os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243A5E22" w14:textId="77777777" w:rsidR="00036BBC" w:rsidRPr="00D45FC7" w:rsidRDefault="00036BBC" w:rsidP="00036BBC">
            <w:pPr>
              <w:pStyle w:val="ListParagraph"/>
              <w:numPr>
                <w:ilvl w:val="1"/>
                <w:numId w:val="7"/>
              </w:numPr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Realiza la requisición de compra de bienes o servicios a través de SIFDE</w:t>
            </w:r>
            <w:r w:rsidR="006C5879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.  En los casos de compra de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</w:t>
            </w:r>
            <w:r w:rsidR="006C5879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bienes </w:t>
            </w:r>
            <w:r w:rsidR="00C10BFC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se refiere a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la Oficina de Compras.</w:t>
            </w:r>
          </w:p>
          <w:p w14:paraId="6E39FA37" w14:textId="77777777" w:rsidR="00036BBC" w:rsidRPr="00D45FC7" w:rsidRDefault="00036BBC" w:rsidP="00036B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41411534" w14:textId="77777777" w:rsidR="00036BBC" w:rsidRPr="00D45FC7" w:rsidRDefault="00036BBC" w:rsidP="00036BBC">
            <w:pPr>
              <w:ind w:left="34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PR"/>
              </w:rPr>
              <w:t>NOTA: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Los bienes a ser adquiridos deben corresponder a actividades permitidas por el Programa 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Restart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por ser seculares, neutrales y no ideológicos.</w:t>
            </w:r>
          </w:p>
          <w:p w14:paraId="78D7443A" w14:textId="77777777" w:rsidR="001B299A" w:rsidRPr="00D45FC7" w:rsidRDefault="00036BBC" w:rsidP="00036BBC">
            <w:pPr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Importante incluir como parte de la requisición en SIFDE, la explicación de la necesidad recibida de la escuela en la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“Solicitud de Adquisición de Bienes y Servicios” (paso 1 arriba)</w:t>
            </w:r>
            <w:r w:rsidRPr="00D45F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.</w:t>
            </w:r>
            <w:r w:rsidR="001B299A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</w:t>
            </w:r>
          </w:p>
          <w:p w14:paraId="75616B30" w14:textId="77777777" w:rsidR="00DB09E6" w:rsidRPr="00D45FC7" w:rsidRDefault="00DB09E6" w:rsidP="00036BBC">
            <w:pPr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237915" w:rsidRPr="008F75CF" w14:paraId="1296C35D" w14:textId="77777777" w:rsidTr="00D45FC7">
        <w:tc>
          <w:tcPr>
            <w:tcW w:w="2335" w:type="dxa"/>
            <w:vMerge w:val="restart"/>
            <w:shd w:val="clear" w:color="auto" w:fill="F2F2F2" w:themeFill="background1" w:themeFillShade="F2"/>
          </w:tcPr>
          <w:p w14:paraId="5C0C2C03" w14:textId="77777777" w:rsidR="00237915" w:rsidRPr="00D45FC7" w:rsidRDefault="00237915" w:rsidP="000D1230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Oficina de Compras</w:t>
            </w:r>
            <w:r w:rsidR="0011363E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, si aplica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1184B3FD" w14:textId="77777777" w:rsidR="00237915" w:rsidRDefault="002E375D" w:rsidP="00D45FC7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Según corresponda, recibe las requisiciones, evalúa y realiza las compras de materiales y equipo, de acuerdo con el proceso establecido en el “</w:t>
            </w:r>
            <w:r w:rsidRPr="00D45FC7">
              <w:rPr>
                <w:rFonts w:ascii="Times New Roman" w:hAnsi="Times New Roman" w:cs="Times New Roman"/>
                <w:noProof/>
                <w:sz w:val="22"/>
                <w:szCs w:val="22"/>
                <w:lang w:val="es-419"/>
              </w:rPr>
              <w:t>Reglamento Uniforme de Compras y Subastas de Bienes, Obras y Servicios No Profesionales de la Administración de Servicios Generales (ASG) del Gobierno de Puerto Rico” (Reglamento 9230 del 18 de noviembre de 2020), el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“Reglamento para la Adquisición, Ventas y Subastas de Bienes, Obras y Servicios no personales del Departamento de Educación (Reglamento 7040), en la Carta Circular 001-2021 del 11 de enero de 2021 de la Oficina de Gerencia y Presupuesto para “Medidas de Control de Responsabilidad Fiscal Relacionadas con le Contratación y el Procedimiento para la Autorización previa de Contratos de Servicios Profesionales o Comprados en exceso de $10,000”. </w:t>
            </w:r>
          </w:p>
          <w:p w14:paraId="00D8A74C" w14:textId="07B04CF3" w:rsidR="00335D82" w:rsidRPr="00D45FC7" w:rsidRDefault="00335D82" w:rsidP="00335D8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237915" w:rsidRPr="008F75CF" w14:paraId="6324F836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3CD17578" w14:textId="77777777" w:rsidR="00237915" w:rsidRPr="00D45FC7" w:rsidRDefault="00237915" w:rsidP="000D1230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4A9441CA" w14:textId="19D2367A" w:rsidR="00237915" w:rsidRPr="00D45FC7" w:rsidRDefault="00237915" w:rsidP="00D45FC7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Genera la orden de compra (PO).</w:t>
            </w:r>
          </w:p>
          <w:p w14:paraId="34ACC597" w14:textId="77777777" w:rsidR="00237915" w:rsidRPr="00D45FC7" w:rsidRDefault="00237915" w:rsidP="00237915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0D1230" w:rsidRPr="008F75CF" w14:paraId="3D2CBD14" w14:textId="77777777" w:rsidTr="00D45FC7">
        <w:tc>
          <w:tcPr>
            <w:tcW w:w="2335" w:type="dxa"/>
            <w:shd w:val="clear" w:color="auto" w:fill="F2F2F2" w:themeFill="background1" w:themeFillShade="F2"/>
          </w:tcPr>
          <w:p w14:paraId="1C531EF7" w14:textId="77777777" w:rsidR="000D1230" w:rsidRPr="00D45FC7" w:rsidRDefault="000D1230" w:rsidP="000D1230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Suplidor </w:t>
            </w:r>
          </w:p>
          <w:p w14:paraId="3BD79A0F" w14:textId="77777777" w:rsidR="000D1230" w:rsidRPr="00D45FC7" w:rsidRDefault="000D1230" w:rsidP="000D1230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593E115B" w14:textId="544810A5" w:rsidR="000D1230" w:rsidRPr="00D45FC7" w:rsidRDefault="009C3E9D" w:rsidP="00D45FC7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Entrega el bien</w:t>
            </w:r>
            <w:r w:rsidR="009536D3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o servicio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</w:t>
            </w:r>
            <w:r w:rsidR="00BE2A26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solicitado </w:t>
            </w:r>
            <w:r w:rsidR="00A70E7E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en la escuela</w:t>
            </w:r>
            <w:r w:rsidR="00BE2A26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privada.</w:t>
            </w:r>
          </w:p>
        </w:tc>
      </w:tr>
      <w:tr w:rsidR="004F305F" w:rsidRPr="008F75CF" w14:paraId="09AA7114" w14:textId="77777777" w:rsidTr="00D45FC7">
        <w:tc>
          <w:tcPr>
            <w:tcW w:w="2335" w:type="dxa"/>
            <w:shd w:val="clear" w:color="auto" w:fill="F2F2F2" w:themeFill="background1" w:themeFillShade="F2"/>
          </w:tcPr>
          <w:p w14:paraId="785E8D1E" w14:textId="77777777" w:rsidR="004F305F" w:rsidRPr="00D45FC7" w:rsidRDefault="004F305F" w:rsidP="000D1230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lastRenderedPageBreak/>
              <w:t>Escuela Privada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366C2C84" w14:textId="6F8C063C" w:rsidR="004F305F" w:rsidRPr="005104E7" w:rsidRDefault="004F305F" w:rsidP="001F2F00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Recibe </w:t>
            </w:r>
            <w:r w:rsidR="002C0E91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el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bien </w:t>
            </w:r>
            <w:r w:rsidR="002C0E91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o servicio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y firma el conduce, certificando </w:t>
            </w:r>
            <w:r w:rsidR="009C1AD7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el recibo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de estos.</w:t>
            </w:r>
          </w:p>
          <w:p w14:paraId="5E58A478" w14:textId="5172A68C" w:rsidR="001F2F00" w:rsidRPr="00D45FC7" w:rsidRDefault="001F2F00" w:rsidP="00D45FC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BE2A26" w:rsidRPr="008F75CF" w14:paraId="0655DAF6" w14:textId="77777777" w:rsidTr="00D45FC7">
        <w:tc>
          <w:tcPr>
            <w:tcW w:w="2335" w:type="dxa"/>
            <w:shd w:val="clear" w:color="auto" w:fill="F2F2F2" w:themeFill="background1" w:themeFillShade="F2"/>
          </w:tcPr>
          <w:p w14:paraId="6AC0CBCD" w14:textId="77777777" w:rsidR="00BE2A26" w:rsidRPr="00D45FC7" w:rsidRDefault="0096514E" w:rsidP="000D1230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Suplidor 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015778E1" w14:textId="4AFDF7C7" w:rsidR="00BE2A26" w:rsidRPr="00D45FC7" w:rsidRDefault="00B01BEE" w:rsidP="00D45FC7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Somete la factura</w:t>
            </w:r>
            <w:r w:rsidR="00E438BF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en SIFDE</w:t>
            </w:r>
            <w:r w:rsidR="005713C1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,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junto a esta incluye el conduce</w:t>
            </w:r>
            <w:r w:rsidR="000A1AB7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firmado por la escuela</w:t>
            </w:r>
            <w:r w:rsidR="00E438BF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.</w:t>
            </w:r>
          </w:p>
          <w:p w14:paraId="13C4F774" w14:textId="77777777" w:rsidR="008A2147" w:rsidRPr="00D45FC7" w:rsidRDefault="008A2147" w:rsidP="008A2147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0D1230" w:rsidRPr="008F75CF" w14:paraId="530961B3" w14:textId="77777777" w:rsidTr="00D45FC7">
        <w:tc>
          <w:tcPr>
            <w:tcW w:w="2335" w:type="dxa"/>
            <w:shd w:val="clear" w:color="auto" w:fill="F2F2F2" w:themeFill="background1" w:themeFillShade="F2"/>
          </w:tcPr>
          <w:p w14:paraId="26BDC8BA" w14:textId="77777777" w:rsidR="000D1230" w:rsidRPr="00D45FC7" w:rsidRDefault="000D1230" w:rsidP="000D1230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División de </w:t>
            </w:r>
            <w:r w:rsidR="00B01BEE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Propiedad de SAAF</w:t>
            </w:r>
          </w:p>
          <w:p w14:paraId="59CA4FFD" w14:textId="77777777" w:rsidR="000D1230" w:rsidRPr="00D45FC7" w:rsidRDefault="000D1230" w:rsidP="000D1230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416B78E3" w14:textId="1DD753BB" w:rsidR="000D1230" w:rsidRPr="00D45FC7" w:rsidRDefault="000D1230" w:rsidP="00D45FC7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Genera el recibo del bien </w:t>
            </w:r>
            <w:r w:rsidR="00F17F9A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o servicio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en SIFDE de acuerdo con el conduce </w:t>
            </w:r>
            <w:r w:rsidR="009C6246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recibido </w:t>
            </w:r>
            <w:r w:rsidR="00B01BEE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por parte de suplidor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.</w:t>
            </w:r>
          </w:p>
        </w:tc>
      </w:tr>
      <w:tr w:rsidR="000D1230" w:rsidRPr="008F75CF" w14:paraId="3074BC61" w14:textId="77777777" w:rsidTr="00D45FC7">
        <w:tc>
          <w:tcPr>
            <w:tcW w:w="2335" w:type="dxa"/>
            <w:vMerge w:val="restart"/>
            <w:shd w:val="clear" w:color="auto" w:fill="F2F2F2" w:themeFill="background1" w:themeFillShade="F2"/>
          </w:tcPr>
          <w:p w14:paraId="29F5E393" w14:textId="77777777" w:rsidR="000D1230" w:rsidRPr="00D45FC7" w:rsidRDefault="000D1230" w:rsidP="000D1230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División de Propiedad</w:t>
            </w:r>
          </w:p>
          <w:p w14:paraId="5928462F" w14:textId="77777777" w:rsidR="000D1230" w:rsidRPr="00D45FC7" w:rsidRDefault="000D1230" w:rsidP="000D1230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(Aplica en la adquisición de equipo capitalizable y no capitalizable)</w:t>
            </w:r>
          </w:p>
          <w:p w14:paraId="7919535C" w14:textId="77777777" w:rsidR="000D1230" w:rsidRPr="00D45FC7" w:rsidRDefault="000D1230" w:rsidP="000D1230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5B9FEBE7" w14:textId="77777777" w:rsidR="000D1230" w:rsidRPr="00D45FC7" w:rsidRDefault="000D1230" w:rsidP="000D1230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2129E3F2" w14:textId="77777777" w:rsidR="000D1230" w:rsidRPr="00D45FC7" w:rsidRDefault="000D1230" w:rsidP="000D1230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5F1A8B63" w14:textId="77777777" w:rsidR="000D1230" w:rsidRPr="00D45FC7" w:rsidRDefault="000D1230" w:rsidP="000D1230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186231F4" w14:textId="77777777" w:rsidR="000D1230" w:rsidRPr="00D45FC7" w:rsidRDefault="000D1230" w:rsidP="000D1230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0A232114" w14:textId="7FD322FC" w:rsidR="000D1230" w:rsidRPr="00D45FC7" w:rsidRDefault="000D1230" w:rsidP="00D45FC7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Completa el proceso establecido en la sección VIII, Adquisición y Contabilización de Propiedad en el “Procedimiento para el Control y Contabilidad de la Propiedad del Departamento de Educación” del 21 de junio de 2006 de la División de Propiedad. Como regla general: </w:t>
            </w:r>
          </w:p>
          <w:p w14:paraId="00B8C207" w14:textId="77777777" w:rsidR="000D1230" w:rsidRPr="00D45FC7" w:rsidRDefault="000D1230" w:rsidP="000D1230">
            <w:pPr>
              <w:pStyle w:val="ListParagraph"/>
              <w:numPr>
                <w:ilvl w:val="0"/>
                <w:numId w:val="5"/>
              </w:numPr>
              <w:ind w:left="788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Serán capitalizados todos los bienes muebles e inmuebles, cuyo costo unitario sea quinientos dólares ($500.00) o más y cuya vida útil sea mayor a dos (2) años. Ambas condiciones deben existir. Estos serán clasificados en las cuentas de gastos E5000, según corresponda.</w:t>
            </w:r>
          </w:p>
          <w:p w14:paraId="4AF83E24" w14:textId="77777777" w:rsidR="000D1230" w:rsidRPr="00D45FC7" w:rsidRDefault="000D1230" w:rsidP="000D1230">
            <w:pPr>
              <w:pStyle w:val="ListParagraph"/>
              <w:ind w:left="788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0D1230" w:rsidRPr="008F75CF" w14:paraId="4ABFA696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096B9741" w14:textId="77777777" w:rsidR="000D1230" w:rsidRPr="00D45FC7" w:rsidRDefault="000D1230" w:rsidP="000D1230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7F964D0F" w14:textId="45695A3E" w:rsidR="000D1230" w:rsidRPr="00D45FC7" w:rsidRDefault="000D1230" w:rsidP="00D45FC7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El equipo capitalizable (E5000) y el equipo no capitalizable (E4414) adquiridos con fondos del programa. Este será rotulado con el número que le asigna el Sistema de Registro de la Propiedad, según lo establece la Sección X del “Procedimiento para el Control y Contabilidad de la propiedad del Departamento de Educación”.</w:t>
            </w:r>
          </w:p>
          <w:p w14:paraId="44173E59" w14:textId="77777777" w:rsidR="000D1230" w:rsidRPr="00D45FC7" w:rsidRDefault="000D1230" w:rsidP="000D1230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0D1230" w:rsidRPr="008F75CF" w14:paraId="61F4BFDE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3566A28F" w14:textId="77777777" w:rsidR="000D1230" w:rsidRPr="00D45FC7" w:rsidRDefault="000D1230" w:rsidP="000D1230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3D77082A" w14:textId="3A145533" w:rsidR="000D1230" w:rsidRPr="00D45FC7" w:rsidRDefault="000D1230" w:rsidP="00D45FC7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Se realizan inventarios físicos anuales, según lo establece la sección VI, Responsabilidades y Deberes del “Procedimiento para el Control y Contabilidad de la propiedad del Departamento de Educación”.</w:t>
            </w:r>
          </w:p>
          <w:p w14:paraId="1A810049" w14:textId="77777777" w:rsidR="000D1230" w:rsidRPr="00D45FC7" w:rsidRDefault="000D1230" w:rsidP="000D1230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</w:tbl>
    <w:p w14:paraId="05718F34" w14:textId="77777777" w:rsidR="00295AA6" w:rsidRPr="00D45FC7" w:rsidRDefault="00295AA6" w:rsidP="00295AA6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s-PR"/>
        </w:rPr>
      </w:pPr>
    </w:p>
    <w:p w14:paraId="708F726A" w14:textId="77777777" w:rsidR="000E0CB3" w:rsidRPr="00D45FC7" w:rsidRDefault="000E0CB3" w:rsidP="00295AA6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s-PR"/>
        </w:rPr>
      </w:pPr>
    </w:p>
    <w:p w14:paraId="4A253302" w14:textId="77777777" w:rsidR="0080734E" w:rsidRPr="00D45FC7" w:rsidRDefault="001729FC" w:rsidP="005F25B8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s-PR"/>
        </w:rPr>
      </w:pPr>
      <w:r w:rsidRPr="00D45FC7">
        <w:rPr>
          <w:rFonts w:ascii="Times New Roman" w:hAnsi="Times New Roman" w:cs="Times New Roman"/>
          <w:b/>
          <w:sz w:val="22"/>
          <w:szCs w:val="22"/>
          <w:lang w:val="es-PR"/>
        </w:rPr>
        <w:t xml:space="preserve">G.2 </w:t>
      </w:r>
      <w:r w:rsidR="005F25B8" w:rsidRPr="00D45FC7">
        <w:rPr>
          <w:rFonts w:ascii="Times New Roman" w:hAnsi="Times New Roman" w:cs="Times New Roman"/>
          <w:b/>
          <w:sz w:val="22"/>
          <w:szCs w:val="22"/>
          <w:lang w:val="es-PR"/>
        </w:rPr>
        <w:t>Solicitud de R</w:t>
      </w:r>
      <w:r w:rsidR="0072242E" w:rsidRPr="00D45FC7">
        <w:rPr>
          <w:rFonts w:ascii="Times New Roman" w:hAnsi="Times New Roman" w:cs="Times New Roman"/>
          <w:b/>
          <w:sz w:val="22"/>
          <w:szCs w:val="22"/>
          <w:lang w:val="es-PR"/>
        </w:rPr>
        <w:t xml:space="preserve">eembolso </w:t>
      </w:r>
      <w:r w:rsidR="005F25B8" w:rsidRPr="00D45FC7">
        <w:rPr>
          <w:rFonts w:ascii="Times New Roman" w:hAnsi="Times New Roman" w:cs="Times New Roman"/>
          <w:b/>
          <w:sz w:val="22"/>
          <w:szCs w:val="22"/>
          <w:lang w:val="es-PR"/>
        </w:rPr>
        <w:t>de Gastos</w:t>
      </w:r>
      <w:r w:rsidR="00835D50" w:rsidRPr="00D45FC7">
        <w:rPr>
          <w:rFonts w:ascii="Times New Roman" w:hAnsi="Times New Roman" w:cs="Times New Roman"/>
          <w:b/>
          <w:sz w:val="22"/>
          <w:szCs w:val="22"/>
          <w:lang w:val="es-PR"/>
        </w:rPr>
        <w:t xml:space="preserve"> – escuelas privadas</w:t>
      </w:r>
      <w:r w:rsidR="00607D20" w:rsidRPr="00D45FC7">
        <w:rPr>
          <w:rFonts w:ascii="Times New Roman" w:hAnsi="Times New Roman" w:cs="Times New Roman"/>
          <w:b/>
          <w:sz w:val="22"/>
          <w:szCs w:val="22"/>
          <w:lang w:val="es-PR"/>
        </w:rPr>
        <w:t>.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0734E" w:rsidRPr="00967D8C" w14:paraId="318BF10B" w14:textId="77777777" w:rsidTr="00D45FC7">
        <w:trPr>
          <w:tblHeader/>
        </w:trPr>
        <w:tc>
          <w:tcPr>
            <w:tcW w:w="2335" w:type="dxa"/>
            <w:shd w:val="clear" w:color="auto" w:fill="31C9BB"/>
          </w:tcPr>
          <w:p w14:paraId="1022C027" w14:textId="77777777" w:rsidR="0080734E" w:rsidRPr="00D45FC7" w:rsidRDefault="008073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</w:pPr>
          </w:p>
          <w:p w14:paraId="20324547" w14:textId="04462E68" w:rsidR="0080734E" w:rsidRPr="00D45FC7" w:rsidRDefault="008073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  <w:t>ÁREA</w:t>
            </w:r>
            <w:r w:rsidR="00177082" w:rsidRPr="005104E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  <w:t xml:space="preserve"> ENCARGADA</w:t>
            </w:r>
          </w:p>
        </w:tc>
        <w:tc>
          <w:tcPr>
            <w:tcW w:w="7015" w:type="dxa"/>
            <w:shd w:val="clear" w:color="auto" w:fill="31C9BB"/>
          </w:tcPr>
          <w:p w14:paraId="4398759B" w14:textId="77777777" w:rsidR="0080734E" w:rsidRPr="00D45FC7" w:rsidRDefault="0080734E">
            <w:pPr>
              <w:pStyle w:val="ListParagraph"/>
              <w:ind w:left="42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</w:pPr>
          </w:p>
          <w:p w14:paraId="4AE499B8" w14:textId="77777777" w:rsidR="0080734E" w:rsidRPr="00D45FC7" w:rsidRDefault="0080734E">
            <w:pPr>
              <w:pStyle w:val="ListParagraph"/>
              <w:ind w:left="42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PR"/>
              </w:rPr>
              <w:t>PROCESO</w:t>
            </w:r>
          </w:p>
          <w:p w14:paraId="3EE9FC97" w14:textId="77777777" w:rsidR="0080734E" w:rsidRPr="00D45FC7" w:rsidRDefault="0080734E">
            <w:pPr>
              <w:pStyle w:val="ListParagraph"/>
              <w:ind w:left="438"/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s-PR"/>
              </w:rPr>
            </w:pPr>
          </w:p>
        </w:tc>
      </w:tr>
      <w:tr w:rsidR="008F264A" w:rsidRPr="008F75CF" w14:paraId="27FD62FE" w14:textId="77777777" w:rsidTr="00D45FC7">
        <w:tc>
          <w:tcPr>
            <w:tcW w:w="2335" w:type="dxa"/>
            <w:vMerge w:val="restart"/>
            <w:shd w:val="clear" w:color="auto" w:fill="F2F2F2" w:themeFill="background1" w:themeFillShade="F2"/>
          </w:tcPr>
          <w:p w14:paraId="60AAF1B6" w14:textId="77777777" w:rsidR="008F264A" w:rsidRPr="00D45FC7" w:rsidRDefault="008F264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Escuela privada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1907AE3C" w14:textId="77777777" w:rsidR="008F264A" w:rsidRPr="00D45FC7" w:rsidRDefault="008F264A">
            <w:pPr>
              <w:pStyle w:val="ListParagraph"/>
              <w:numPr>
                <w:ilvl w:val="0"/>
                <w:numId w:val="23"/>
              </w:numPr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Somete el formulario “Solicitud de Reembolso de Gastos - 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Restart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” a la División de Servicios con la siguiente evidencia requerida (fotos, facturas o recibos de gastos, cheques cancelados, etc.).</w:t>
            </w:r>
          </w:p>
          <w:p w14:paraId="56B3E27A" w14:textId="77777777" w:rsidR="008F264A" w:rsidRPr="00D45FC7" w:rsidRDefault="008F264A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4E044261" w14:textId="77777777" w:rsidR="005E26B4" w:rsidRPr="00D45FC7" w:rsidRDefault="005E26B4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Utilizar la plantilla en el </w:t>
            </w: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 xml:space="preserve">Anejo </w:t>
            </w:r>
            <w:r w:rsidR="00EB1118"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J</w:t>
            </w: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.</w:t>
            </w:r>
          </w:p>
          <w:p w14:paraId="147357D6" w14:textId="77777777" w:rsidR="008F264A" w:rsidRPr="00D45FC7" w:rsidRDefault="008F264A">
            <w:pPr>
              <w:ind w:left="42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8F264A" w:rsidRPr="008F75CF" w14:paraId="58D6B36E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3ECB713B" w14:textId="77777777" w:rsidR="008F264A" w:rsidRPr="00D45FC7" w:rsidRDefault="008F264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1DC3BECD" w14:textId="77777777" w:rsidR="008F264A" w:rsidRPr="00D45FC7" w:rsidRDefault="008F264A">
            <w:pPr>
              <w:pStyle w:val="ListParagraph"/>
              <w:numPr>
                <w:ilvl w:val="0"/>
                <w:numId w:val="23"/>
              </w:numPr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Completa la Certificación de Uso de Fondos 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Restart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utilizando el </w:t>
            </w: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Anejo B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.  </w:t>
            </w:r>
          </w:p>
          <w:p w14:paraId="797B7431" w14:textId="77777777" w:rsidR="008F264A" w:rsidRPr="00D45FC7" w:rsidRDefault="008F264A">
            <w:pPr>
              <w:pStyle w:val="ListParagraph"/>
              <w:ind w:left="42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10258513" w14:textId="77777777" w:rsidR="008F264A" w:rsidRPr="00D45FC7" w:rsidRDefault="008F264A">
            <w:pPr>
              <w:ind w:left="424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PR"/>
              </w:rPr>
              <w:t>NOTA: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Las necesidades presentadas en la Solicitud de Reembolso de Gastos – 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 xml:space="preserve">Restart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no pueden haber sido objeto de reclamación alguna a una aseguradora privada o a la Agencia Federal para el Manejo de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lastRenderedPageBreak/>
              <w:t>Emergencias (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FEMA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por sus siglas en inglés), por las cuales se haya recibido pagos o fondos.</w:t>
            </w:r>
          </w:p>
          <w:p w14:paraId="0A6ED464" w14:textId="77777777" w:rsidR="008F264A" w:rsidRPr="00D45FC7" w:rsidRDefault="008F264A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8F264A" w:rsidRPr="008F75CF" w14:paraId="1990C709" w14:textId="77777777" w:rsidTr="00D45FC7">
        <w:tc>
          <w:tcPr>
            <w:tcW w:w="2335" w:type="dxa"/>
            <w:vMerge w:val="restart"/>
            <w:shd w:val="clear" w:color="auto" w:fill="F2F2F2" w:themeFill="background1" w:themeFillShade="F2"/>
          </w:tcPr>
          <w:p w14:paraId="3FAE5828" w14:textId="77777777" w:rsidR="008F264A" w:rsidRPr="00D45FC7" w:rsidRDefault="008F264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lastRenderedPageBreak/>
              <w:t>División de Servicios Equitativos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1E78BE2A" w14:textId="77777777" w:rsidR="008F264A" w:rsidRPr="00D45FC7" w:rsidRDefault="008F264A">
            <w:pPr>
              <w:pStyle w:val="ListParagraph"/>
              <w:numPr>
                <w:ilvl w:val="0"/>
                <w:numId w:val="24"/>
              </w:numPr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Evalúa la permisibilidad del uso de los fondos y de ser necesario, realiza una consulta al Departamento de Educación de los Estados Unidos (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USDE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).</w:t>
            </w:r>
          </w:p>
          <w:p w14:paraId="19241D9D" w14:textId="77777777" w:rsidR="008F264A" w:rsidRPr="00D45FC7" w:rsidRDefault="008F264A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8F264A" w:rsidRPr="008F75CF" w14:paraId="47F54157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6230642E" w14:textId="77777777" w:rsidR="008F264A" w:rsidRPr="00D45FC7" w:rsidRDefault="008F264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75803696" w14:textId="77777777" w:rsidR="008F264A" w:rsidRPr="00D45FC7" w:rsidRDefault="008F264A">
            <w:pPr>
              <w:pStyle w:val="ListParagraph"/>
              <w:numPr>
                <w:ilvl w:val="0"/>
                <w:numId w:val="24"/>
              </w:numPr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Evalúa la evidencia y la justificación sobre los gastos presentados para reembolso, en efecto hayan sido causados por el desastre.</w:t>
            </w:r>
          </w:p>
          <w:p w14:paraId="52BB1EB0" w14:textId="77777777" w:rsidR="00142F64" w:rsidRPr="00D45FC7" w:rsidRDefault="00142F64">
            <w:pPr>
              <w:pStyle w:val="ListParagraph"/>
              <w:numPr>
                <w:ilvl w:val="2"/>
                <w:numId w:val="24"/>
              </w:numPr>
              <w:ind w:left="70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De aprobarse, la Coordinadora de la DSE firma la aprobación (se prosigue con los pasos 5 al 1</w:t>
            </w:r>
            <w:r w:rsidR="0036246E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2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).</w:t>
            </w:r>
          </w:p>
          <w:p w14:paraId="6F952C10" w14:textId="77777777" w:rsidR="00142F64" w:rsidRPr="00D45FC7" w:rsidRDefault="00142F64">
            <w:pPr>
              <w:pStyle w:val="ListParagraph"/>
              <w:numPr>
                <w:ilvl w:val="2"/>
                <w:numId w:val="24"/>
              </w:numPr>
              <w:ind w:left="70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De denegarse (se devuelve la solicitud a la escuela privada para que realicen las modificaciones solicitadas y regresa al paso 1).</w:t>
            </w:r>
          </w:p>
          <w:p w14:paraId="48C851C1" w14:textId="77777777" w:rsidR="008F264A" w:rsidRPr="00D45FC7" w:rsidRDefault="008F264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8F264A" w:rsidRPr="008F75CF" w14:paraId="247F5FBB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26D8737C" w14:textId="77777777" w:rsidR="008F264A" w:rsidRPr="00D45FC7" w:rsidRDefault="008F264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58D31D75" w14:textId="77777777" w:rsidR="008F264A" w:rsidRPr="00D45FC7" w:rsidRDefault="008F264A">
            <w:pPr>
              <w:pStyle w:val="ListParagraph"/>
              <w:numPr>
                <w:ilvl w:val="0"/>
                <w:numId w:val="24"/>
              </w:numPr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Verifica la Certificación de Uso de Fondos (</w:t>
            </w:r>
            <w:r w:rsidRPr="00D45F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R"/>
              </w:rPr>
              <w:t>Anejo B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).</w:t>
            </w:r>
          </w:p>
          <w:p w14:paraId="361E014C" w14:textId="77777777" w:rsidR="008F264A" w:rsidRPr="00D45FC7" w:rsidRDefault="008F264A">
            <w:pPr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38249AC0" w14:textId="77777777" w:rsidR="008F264A" w:rsidRPr="00D45FC7" w:rsidRDefault="008F264A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PR"/>
              </w:rPr>
              <w:t>NOTA: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Los gastos a reembolsarse deben corresponder a actividades permitidas por el Programa 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Restart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por ser seculares, neutrales y no ideológicos.</w:t>
            </w:r>
          </w:p>
          <w:p w14:paraId="6F517EEE" w14:textId="77777777" w:rsidR="008F264A" w:rsidRPr="00D45FC7" w:rsidRDefault="008F264A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FA037B" w:rsidRPr="008F75CF" w14:paraId="3641DE4C" w14:textId="77777777" w:rsidTr="00D45FC7">
        <w:tc>
          <w:tcPr>
            <w:tcW w:w="2335" w:type="dxa"/>
            <w:vMerge w:val="restart"/>
            <w:shd w:val="clear" w:color="auto" w:fill="F2F2F2" w:themeFill="background1" w:themeFillShade="F2"/>
          </w:tcPr>
          <w:p w14:paraId="458858BB" w14:textId="77777777" w:rsidR="00FA037B" w:rsidRPr="00D45FC7" w:rsidRDefault="00FA037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Unidad Fiscal de la Secretaría Auxiliar de Asuntos Federales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1AC0E8EF" w14:textId="77777777" w:rsidR="00FA037B" w:rsidRPr="00D45FC7" w:rsidRDefault="00FA037B">
            <w:pPr>
              <w:pStyle w:val="ListParagraph"/>
              <w:numPr>
                <w:ilvl w:val="0"/>
                <w:numId w:val="24"/>
              </w:numPr>
              <w:ind w:left="43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Valida la disponibilidad de los fondos del programa para procesar la solicitud de reembolso</w:t>
            </w:r>
            <w:r w:rsidR="008639EE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y firma la Coordinadora de la Unidad Fiscal de la SAAF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.</w:t>
            </w:r>
          </w:p>
          <w:p w14:paraId="75B4DAFC" w14:textId="77777777" w:rsidR="00FA037B" w:rsidRPr="00D45FC7" w:rsidRDefault="00FA037B">
            <w:pPr>
              <w:pStyle w:val="ListParagraph"/>
              <w:ind w:left="43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FA037B" w:rsidRPr="008F75CF" w14:paraId="79FF7E5B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17F9E10E" w14:textId="77777777" w:rsidR="00FA037B" w:rsidRPr="00D45FC7" w:rsidRDefault="00FA037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683B8896" w14:textId="77777777" w:rsidR="005D23D3" w:rsidRPr="00D45FC7" w:rsidRDefault="005D23D3">
            <w:pPr>
              <w:pStyle w:val="ListParagraph"/>
              <w:numPr>
                <w:ilvl w:val="0"/>
                <w:numId w:val="24"/>
              </w:numPr>
              <w:ind w:left="43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Envía la Solicitud de Reembolso de Gastos – 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>Restart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a la Oficina de Finanzas para el reembolso correspondiente.</w:t>
            </w:r>
          </w:p>
          <w:p w14:paraId="4EF3CCAA" w14:textId="77777777" w:rsidR="00FA037B" w:rsidRPr="00D45FC7" w:rsidRDefault="005D23D3">
            <w:pPr>
              <w:pStyle w:val="ListParagraph"/>
              <w:ind w:left="43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</w:t>
            </w:r>
          </w:p>
        </w:tc>
      </w:tr>
      <w:tr w:rsidR="00FA037B" w:rsidRPr="008F75CF" w14:paraId="1F711F31" w14:textId="77777777" w:rsidTr="00D45FC7">
        <w:tc>
          <w:tcPr>
            <w:tcW w:w="2335" w:type="dxa"/>
            <w:vMerge w:val="restart"/>
            <w:shd w:val="clear" w:color="auto" w:fill="F2F2F2" w:themeFill="background1" w:themeFillShade="F2"/>
          </w:tcPr>
          <w:p w14:paraId="599F58C7" w14:textId="77777777" w:rsidR="00FA037B" w:rsidRPr="00D45FC7" w:rsidRDefault="00FA037B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Oficina de Finanzas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511D9D8A" w14:textId="77777777" w:rsidR="00FA037B" w:rsidRPr="00D45FC7" w:rsidRDefault="00FA037B">
            <w:pPr>
              <w:pStyle w:val="ListParagraph"/>
              <w:numPr>
                <w:ilvl w:val="0"/>
                <w:numId w:val="24"/>
              </w:numPr>
              <w:ind w:left="43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Procede a realizar el reembolso correspondiente.</w:t>
            </w:r>
          </w:p>
          <w:p w14:paraId="78318967" w14:textId="77777777" w:rsidR="00FA037B" w:rsidRPr="00D45FC7" w:rsidRDefault="00FA037B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FA037B" w:rsidRPr="008F75CF" w14:paraId="3EE7F22D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51C66E7F" w14:textId="77777777" w:rsidR="00FA037B" w:rsidRPr="00D45FC7" w:rsidRDefault="00FA037B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4489D3DB" w14:textId="77777777" w:rsidR="00FA037B" w:rsidRPr="00D45FC7" w:rsidRDefault="00FA037B">
            <w:pPr>
              <w:pStyle w:val="ListParagraph"/>
              <w:numPr>
                <w:ilvl w:val="0"/>
                <w:numId w:val="24"/>
              </w:numPr>
              <w:ind w:left="43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Verifica si la Solicitud de Reembolso de Gastos – </w:t>
            </w:r>
            <w:r w:rsidRPr="00D45FC7">
              <w:rPr>
                <w:rFonts w:ascii="Times New Roman" w:hAnsi="Times New Roman" w:cs="Times New Roman"/>
                <w:i/>
                <w:sz w:val="22"/>
                <w:szCs w:val="22"/>
                <w:lang w:val="es-PR"/>
              </w:rPr>
              <w:t xml:space="preserve">Restart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contiene reembolso por concepto de compra de equipo clasificado en las cuentas E5000 y E4414, se enviará a la División de Propiedad para ser capitalizado, rotulado e incluido en el inventario del DEPR</w:t>
            </w:r>
            <w:r w:rsidR="00725284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, ya que a pesar de que la propiedad será utilizada en la escuela, la misma pasa a ser propiedad del DEPR una vez se emita el reembolso.</w:t>
            </w:r>
          </w:p>
          <w:p w14:paraId="76914A9A" w14:textId="77777777" w:rsidR="00FA037B" w:rsidRPr="00D45FC7" w:rsidRDefault="00FA037B">
            <w:pPr>
              <w:pStyle w:val="ListParagraph"/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2701BD" w:rsidRPr="008F75CF" w14:paraId="6DBC289F" w14:textId="77777777" w:rsidTr="00D45FC7">
        <w:trPr>
          <w:trHeight w:val="782"/>
        </w:trPr>
        <w:tc>
          <w:tcPr>
            <w:tcW w:w="2335" w:type="dxa"/>
            <w:vMerge w:val="restart"/>
            <w:shd w:val="clear" w:color="auto" w:fill="F2F2F2" w:themeFill="background1" w:themeFillShade="F2"/>
          </w:tcPr>
          <w:p w14:paraId="6342887B" w14:textId="77777777" w:rsidR="002701BD" w:rsidRPr="00D45FC7" w:rsidRDefault="002701BD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División de Propiedad</w:t>
            </w:r>
          </w:p>
          <w:p w14:paraId="0A7AB240" w14:textId="77777777" w:rsidR="002701BD" w:rsidRPr="00D45FC7" w:rsidRDefault="002701BD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(Aplica en la adquisición de equipo capitalizable y no capitalizable)</w:t>
            </w:r>
          </w:p>
          <w:p w14:paraId="2014F361" w14:textId="77777777" w:rsidR="002701BD" w:rsidRPr="00D45FC7" w:rsidRDefault="002701BD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5EC99792" w14:textId="77777777" w:rsidR="002701BD" w:rsidRPr="00D45FC7" w:rsidRDefault="002701BD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76C892E1" w14:textId="77777777" w:rsidR="002701BD" w:rsidRPr="00D45FC7" w:rsidRDefault="002701BD">
            <w:pPr>
              <w:pStyle w:val="ListParagraph"/>
              <w:numPr>
                <w:ilvl w:val="0"/>
                <w:numId w:val="31"/>
              </w:numPr>
              <w:ind w:left="34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Completa el proceso establecido en la sección VIII, Adquisición y Contabilización de Propiedad en el “Procedimiento para el Control y Contabilidad de la propiedad del Departamento de Educación” del 21 de junio de 2006 de la División de Propiedad. Como regla general: </w:t>
            </w:r>
          </w:p>
          <w:p w14:paraId="07B7AF96" w14:textId="77777777" w:rsidR="002701BD" w:rsidRPr="00D45FC7" w:rsidRDefault="002701BD">
            <w:pPr>
              <w:pStyle w:val="ListParagraph"/>
              <w:numPr>
                <w:ilvl w:val="0"/>
                <w:numId w:val="26"/>
              </w:numPr>
              <w:ind w:left="97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Serán capitalizados todos los bienes muebles e inmuebles, cuyo costo unitario sea quinientos dólares ($500.00) o más y cuya vida útil sea mayor a dos (2) años. Ambas condiciones deben existir. Estos serán clasificados en las cuentas de gastos E5000, según corresponda.</w:t>
            </w:r>
          </w:p>
          <w:p w14:paraId="2CD7CC0F" w14:textId="77777777" w:rsidR="00365927" w:rsidRPr="00D45FC7" w:rsidRDefault="00365927">
            <w:pPr>
              <w:pStyle w:val="ListParagraph"/>
              <w:ind w:left="97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2701BD" w:rsidRPr="008F75CF" w14:paraId="3CC4D2A5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666F5F69" w14:textId="77777777" w:rsidR="002701BD" w:rsidRPr="00D45FC7" w:rsidRDefault="002701BD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59AC1E87" w14:textId="77777777" w:rsidR="002701BD" w:rsidRPr="00D45FC7" w:rsidRDefault="002701BD">
            <w:pPr>
              <w:pStyle w:val="ListParagraph"/>
              <w:numPr>
                <w:ilvl w:val="0"/>
                <w:numId w:val="31"/>
              </w:numPr>
              <w:ind w:left="43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El equipo capitalizable (E5000) y el equipo no capitalizable (E4414) adquiridos con fondos del programa</w:t>
            </w:r>
            <w:r w:rsidR="00396717"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. Este será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 rotulado con el número que le asigna el Sistema de Registro de la Propiedad, según lo establece </w:t>
            </w: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lastRenderedPageBreak/>
              <w:t>la Sección X del “Procedimiento para el Control y Contabilidad de la propiedad del Departamento de Educación”.</w:t>
            </w:r>
          </w:p>
          <w:p w14:paraId="3B1C03A6" w14:textId="77777777" w:rsidR="002701BD" w:rsidRPr="00D45FC7" w:rsidRDefault="002701BD">
            <w:pPr>
              <w:pStyle w:val="ListParagraph"/>
              <w:ind w:left="43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2701BD" w:rsidRPr="008F75CF" w14:paraId="20D9C449" w14:textId="77777777" w:rsidTr="00D45FC7">
        <w:tc>
          <w:tcPr>
            <w:tcW w:w="2335" w:type="dxa"/>
            <w:vMerge/>
            <w:shd w:val="clear" w:color="auto" w:fill="F2F2F2" w:themeFill="background1" w:themeFillShade="F2"/>
          </w:tcPr>
          <w:p w14:paraId="65D1C786" w14:textId="77777777" w:rsidR="002701BD" w:rsidRPr="00D45FC7" w:rsidRDefault="002701BD">
            <w:pPr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3BE059BD" w14:textId="77777777" w:rsidR="002701BD" w:rsidRPr="00D45FC7" w:rsidRDefault="002701BD">
            <w:pPr>
              <w:pStyle w:val="ListParagraph"/>
              <w:numPr>
                <w:ilvl w:val="0"/>
                <w:numId w:val="31"/>
              </w:numPr>
              <w:ind w:left="43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Realizan inventarios físicos anuales, según lo establece la sección VI, Responsabilidades y Deberes del “Procedimiento para el Control y Contabilidad de la propiedad del Departamento de Educación”.</w:t>
            </w:r>
          </w:p>
          <w:p w14:paraId="28DF7D61" w14:textId="77777777" w:rsidR="002701BD" w:rsidRPr="00D45FC7" w:rsidRDefault="002701BD">
            <w:pPr>
              <w:pStyle w:val="ListParagraph"/>
              <w:ind w:left="436"/>
              <w:jc w:val="both"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ab/>
            </w:r>
          </w:p>
        </w:tc>
      </w:tr>
    </w:tbl>
    <w:p w14:paraId="5D4BFA63" w14:textId="7449D03B" w:rsidR="008717EC" w:rsidRPr="00D45FC7" w:rsidRDefault="00177082" w:rsidP="00DA2160">
      <w:pPr>
        <w:pStyle w:val="Heading1"/>
        <w:ind w:left="720" w:hanging="360"/>
        <w:jc w:val="left"/>
        <w:rPr>
          <w:rFonts w:ascii="Times New Roman" w:eastAsiaTheme="minorEastAsia" w:hAnsi="Times New Roman" w:cs="Times New Roman"/>
          <w:b/>
          <w:color w:val="auto"/>
          <w:sz w:val="22"/>
          <w:szCs w:val="22"/>
          <w:lang w:val="es-PR"/>
        </w:rPr>
      </w:pPr>
      <w:r w:rsidRPr="005104E7">
        <w:rPr>
          <w:rFonts w:ascii="Times New Roman" w:eastAsiaTheme="minorEastAsia" w:hAnsi="Times New Roman" w:cs="Times New Roman"/>
          <w:b/>
          <w:color w:val="auto"/>
          <w:sz w:val="22"/>
          <w:szCs w:val="22"/>
          <w:lang w:val="es-PR"/>
        </w:rPr>
        <w:br w:type="textWrapping" w:clear="all"/>
      </w:r>
      <w:r w:rsidR="008717EC" w:rsidRPr="00D45FC7">
        <w:rPr>
          <w:rFonts w:ascii="Times New Roman" w:eastAsiaTheme="minorEastAsia" w:hAnsi="Times New Roman" w:cs="Times New Roman"/>
          <w:b/>
          <w:color w:val="auto"/>
          <w:sz w:val="22"/>
          <w:szCs w:val="22"/>
          <w:lang w:val="es-PR"/>
        </w:rPr>
        <w:t>Vigencia y Aprobación</w:t>
      </w:r>
    </w:p>
    <w:p w14:paraId="46D187F3" w14:textId="5E92E7EF" w:rsidR="008717EC" w:rsidRPr="00D45FC7" w:rsidRDefault="008717EC" w:rsidP="00D32C0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2"/>
          <w:szCs w:val="22"/>
          <w:lang w:val="es-PR"/>
        </w:rPr>
      </w:pPr>
      <w:r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Esta Guía entra en vigor en la fecha en que lo firme </w:t>
      </w:r>
      <w:r w:rsidR="006D5BE1" w:rsidRPr="00D45FC7">
        <w:rPr>
          <w:rFonts w:ascii="Times New Roman" w:hAnsi="Times New Roman" w:cs="Times New Roman"/>
          <w:sz w:val="22"/>
          <w:szCs w:val="22"/>
          <w:lang w:val="es-PR"/>
        </w:rPr>
        <w:t>el</w:t>
      </w:r>
      <w:r w:rsidR="00680F6F">
        <w:rPr>
          <w:rFonts w:ascii="Times New Roman" w:hAnsi="Times New Roman" w:cs="Times New Roman"/>
          <w:sz w:val="22"/>
          <w:szCs w:val="22"/>
          <w:lang w:val="es-PR"/>
        </w:rPr>
        <w:t>/la</w:t>
      </w:r>
      <w:r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 Secretari</w:t>
      </w:r>
      <w:r w:rsidR="00680F6F">
        <w:rPr>
          <w:rFonts w:ascii="Times New Roman" w:hAnsi="Times New Roman" w:cs="Times New Roman"/>
          <w:sz w:val="22"/>
          <w:szCs w:val="22"/>
          <w:lang w:val="es-PR"/>
        </w:rPr>
        <w:t>a</w:t>
      </w:r>
      <w:r w:rsidRPr="00D45FC7">
        <w:rPr>
          <w:rFonts w:ascii="Times New Roman" w:hAnsi="Times New Roman" w:cs="Times New Roman"/>
          <w:sz w:val="22"/>
          <w:szCs w:val="22"/>
          <w:lang w:val="es-PR"/>
        </w:rPr>
        <w:t xml:space="preserve"> del Departamento de Educación de Puerto Rico</w:t>
      </w:r>
      <w:r w:rsidR="00F97D71" w:rsidRPr="00D45FC7">
        <w:rPr>
          <w:rFonts w:ascii="Times New Roman" w:hAnsi="Times New Roman" w:cs="Times New Roman"/>
          <w:sz w:val="22"/>
          <w:szCs w:val="22"/>
          <w:lang w:val="es-PR"/>
        </w:rPr>
        <w:t>, o su representante autorizado</w:t>
      </w:r>
      <w:r w:rsidRPr="00D45FC7">
        <w:rPr>
          <w:rFonts w:ascii="Times New Roman" w:hAnsi="Times New Roman" w:cs="Times New Roman"/>
          <w:sz w:val="22"/>
          <w:szCs w:val="22"/>
          <w:lang w:val="es-PR"/>
        </w:rPr>
        <w:t>.</w:t>
      </w:r>
    </w:p>
    <w:p w14:paraId="6F5942E7" w14:textId="77777777" w:rsidR="008717EC" w:rsidRPr="00D45FC7" w:rsidRDefault="008717EC" w:rsidP="008717EC">
      <w:pPr>
        <w:spacing w:line="240" w:lineRule="auto"/>
        <w:contextualSpacing/>
        <w:rPr>
          <w:rFonts w:ascii="Times New Roman" w:hAnsi="Times New Roman" w:cs="Times New Roman"/>
          <w:sz w:val="22"/>
          <w:szCs w:val="22"/>
          <w:lang w:val="es-PR"/>
        </w:rPr>
      </w:pPr>
    </w:p>
    <w:tbl>
      <w:tblPr>
        <w:tblStyle w:val="TableGrid"/>
        <w:tblW w:w="389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</w:tblGrid>
      <w:tr w:rsidR="00871939" w:rsidRPr="00967D8C" w14:paraId="6FB040EF" w14:textId="77777777" w:rsidTr="00871939">
        <w:tc>
          <w:tcPr>
            <w:tcW w:w="3890" w:type="dxa"/>
          </w:tcPr>
          <w:p w14:paraId="4E6878A6" w14:textId="180C5DA6" w:rsidR="00871939" w:rsidRPr="00D45FC7" w:rsidRDefault="00871939" w:rsidP="0075067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APROBADO POR:</w:t>
            </w:r>
          </w:p>
        </w:tc>
      </w:tr>
      <w:tr w:rsidR="00871939" w:rsidRPr="00967D8C" w14:paraId="1CF4E286" w14:textId="77777777" w:rsidTr="00871939">
        <w:trPr>
          <w:trHeight w:val="738"/>
        </w:trPr>
        <w:tc>
          <w:tcPr>
            <w:tcW w:w="3890" w:type="dxa"/>
            <w:tcBorders>
              <w:bottom w:val="single" w:sz="4" w:space="0" w:color="auto"/>
            </w:tcBorders>
          </w:tcPr>
          <w:p w14:paraId="57B7F23B" w14:textId="77777777" w:rsidR="00871939" w:rsidRPr="00D45FC7" w:rsidRDefault="00871939" w:rsidP="0075067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871939" w:rsidRPr="008F75CF" w14:paraId="2C352A4B" w14:textId="77777777" w:rsidTr="00871939">
        <w:tc>
          <w:tcPr>
            <w:tcW w:w="3890" w:type="dxa"/>
            <w:tcBorders>
              <w:top w:val="single" w:sz="4" w:space="0" w:color="auto"/>
            </w:tcBorders>
          </w:tcPr>
          <w:p w14:paraId="61DEBB82" w14:textId="4B5BC072" w:rsidR="00CB5455" w:rsidRPr="00D45FC7" w:rsidRDefault="00CB5455" w:rsidP="00871939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 xml:space="preserve">Elba L. Aponte Santos </w:t>
            </w:r>
          </w:p>
          <w:p w14:paraId="7CBBDCCE" w14:textId="67D7DD5D" w:rsidR="00871939" w:rsidRPr="00D45FC7" w:rsidRDefault="00871939" w:rsidP="00871939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Secretaria Departamento de Educación de Puerto Rico</w:t>
            </w:r>
          </w:p>
        </w:tc>
      </w:tr>
      <w:tr w:rsidR="00871939" w:rsidRPr="008F75CF" w14:paraId="1A0BCD8E" w14:textId="77777777" w:rsidTr="00871939">
        <w:tc>
          <w:tcPr>
            <w:tcW w:w="3890" w:type="dxa"/>
            <w:tcBorders>
              <w:bottom w:val="single" w:sz="4" w:space="0" w:color="auto"/>
            </w:tcBorders>
          </w:tcPr>
          <w:p w14:paraId="33EFCC2E" w14:textId="77777777" w:rsidR="00871939" w:rsidRPr="00D45FC7" w:rsidRDefault="00871939" w:rsidP="005E497D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  <w:p w14:paraId="1178C4D3" w14:textId="77777777" w:rsidR="00871939" w:rsidRPr="00D45FC7" w:rsidRDefault="00871939" w:rsidP="005E497D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</w:p>
        </w:tc>
      </w:tr>
      <w:tr w:rsidR="00871939" w:rsidRPr="00967D8C" w14:paraId="6809BA45" w14:textId="77777777" w:rsidTr="00871939">
        <w:tc>
          <w:tcPr>
            <w:tcW w:w="3890" w:type="dxa"/>
            <w:tcBorders>
              <w:top w:val="single" w:sz="4" w:space="0" w:color="auto"/>
            </w:tcBorders>
          </w:tcPr>
          <w:p w14:paraId="51D97DCD" w14:textId="77777777" w:rsidR="00871939" w:rsidRPr="00D45FC7" w:rsidRDefault="00871939" w:rsidP="005E497D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s-PR"/>
              </w:rPr>
            </w:pPr>
            <w:r w:rsidRPr="00D45FC7">
              <w:rPr>
                <w:rFonts w:ascii="Times New Roman" w:hAnsi="Times New Roman" w:cs="Times New Roman"/>
                <w:sz w:val="22"/>
                <w:szCs w:val="22"/>
                <w:lang w:val="es-PR"/>
              </w:rPr>
              <w:t>Fecha</w:t>
            </w:r>
          </w:p>
        </w:tc>
      </w:tr>
    </w:tbl>
    <w:p w14:paraId="583BDDBB" w14:textId="77777777" w:rsidR="00CF1DC4" w:rsidRPr="00D45FC7" w:rsidRDefault="00CF1DC4" w:rsidP="003E3A38">
      <w:pPr>
        <w:jc w:val="both"/>
        <w:rPr>
          <w:rFonts w:ascii="Times New Roman" w:hAnsi="Times New Roman" w:cs="Times New Roman"/>
          <w:sz w:val="22"/>
          <w:szCs w:val="22"/>
          <w:lang w:val="es-PR"/>
        </w:rPr>
      </w:pPr>
    </w:p>
    <w:sectPr w:rsidR="00CF1DC4" w:rsidRPr="00D45FC7" w:rsidSect="0018054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Borders w:display="firstPage"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RDE" w:date="2021-02-25T21:58:00Z" w:initials="PRDE">
    <w:p w14:paraId="07D62DD1" w14:textId="3EA86AEA" w:rsidR="005104E7" w:rsidRPr="00F662E0" w:rsidRDefault="005104E7">
      <w:pPr>
        <w:pStyle w:val="CommentText"/>
        <w:rPr>
          <w:lang w:val="es-419"/>
        </w:rPr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D62D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9BF7" w16cex:dateUtc="2021-02-26T0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D62DD1" w16cid:durableId="23E29B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26884" w14:textId="77777777" w:rsidR="00171939" w:rsidRDefault="00171939" w:rsidP="00581DCF">
      <w:pPr>
        <w:spacing w:after="0" w:line="240" w:lineRule="auto"/>
      </w:pPr>
      <w:r>
        <w:separator/>
      </w:r>
    </w:p>
  </w:endnote>
  <w:endnote w:type="continuationSeparator" w:id="0">
    <w:p w14:paraId="45D30742" w14:textId="77777777" w:rsidR="00171939" w:rsidRDefault="00171939" w:rsidP="0058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7A3E9" w14:textId="77777777" w:rsidR="008F75CF" w:rsidRDefault="008F7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18959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789FF9EA" w14:textId="77777777" w:rsidR="00FF24EF" w:rsidRPr="00F8655F" w:rsidRDefault="00FF24EF">
        <w:pPr>
          <w:pStyle w:val="Footer"/>
          <w:jc w:val="right"/>
          <w:rPr>
            <w:rFonts w:ascii="Arial" w:hAnsi="Arial" w:cs="Arial"/>
            <w:sz w:val="20"/>
          </w:rPr>
        </w:pPr>
        <w:r w:rsidRPr="00F8655F">
          <w:rPr>
            <w:rFonts w:ascii="Arial" w:hAnsi="Arial" w:cs="Arial"/>
            <w:sz w:val="20"/>
          </w:rPr>
          <w:fldChar w:fldCharType="begin"/>
        </w:r>
        <w:r w:rsidRPr="00F8655F">
          <w:rPr>
            <w:rFonts w:ascii="Arial" w:hAnsi="Arial" w:cs="Arial"/>
            <w:sz w:val="20"/>
          </w:rPr>
          <w:instrText xml:space="preserve"> PAGE   \* MERGEFORMAT </w:instrText>
        </w:r>
        <w:r w:rsidRPr="00F8655F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Pr="00F8655F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2C4390ED" w14:textId="77777777" w:rsidR="00FF24EF" w:rsidRDefault="00FF24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8379" w14:textId="77777777" w:rsidR="008F75CF" w:rsidRDefault="008F7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35773" w14:textId="77777777" w:rsidR="00171939" w:rsidRDefault="00171939" w:rsidP="00581DCF">
      <w:pPr>
        <w:spacing w:after="0" w:line="240" w:lineRule="auto"/>
      </w:pPr>
      <w:r>
        <w:separator/>
      </w:r>
    </w:p>
  </w:footnote>
  <w:footnote w:type="continuationSeparator" w:id="0">
    <w:p w14:paraId="0D3D24A3" w14:textId="77777777" w:rsidR="00171939" w:rsidRDefault="00171939" w:rsidP="00581DCF">
      <w:pPr>
        <w:spacing w:after="0" w:line="240" w:lineRule="auto"/>
      </w:pPr>
      <w:r>
        <w:continuationSeparator/>
      </w:r>
    </w:p>
  </w:footnote>
  <w:footnote w:id="1">
    <w:p w14:paraId="4F08AB6E" w14:textId="77777777" w:rsidR="00FF24EF" w:rsidRPr="00EC23B1" w:rsidRDefault="00FF24EF">
      <w:pPr>
        <w:pStyle w:val="FootnoteText"/>
        <w:rPr>
          <w:lang w:val="es-PR"/>
        </w:rPr>
      </w:pPr>
      <w:r>
        <w:rPr>
          <w:rStyle w:val="FootnoteReference"/>
        </w:rPr>
        <w:footnoteRef/>
      </w:r>
      <w:r w:rsidRPr="00EC23B1">
        <w:rPr>
          <w:lang w:val="es-PR"/>
        </w:rPr>
        <w:t xml:space="preserve"> </w:t>
      </w:r>
      <w:r>
        <w:rPr>
          <w:lang w:val="es-PR"/>
        </w:rPr>
        <w:t>Los p</w:t>
      </w:r>
      <w:r w:rsidRPr="00EC23B1">
        <w:rPr>
          <w:lang w:val="es-PR"/>
        </w:rPr>
        <w:t>rocesos fiscales</w:t>
      </w:r>
      <w:r>
        <w:rPr>
          <w:lang w:val="es-PR"/>
        </w:rPr>
        <w:t xml:space="preserve"> presentados en esta sección no aplican a las escuelas públicas del sistema tampoco a las escuelas privadas. Refiérase a las secciones F y G de esta Guía para los procesos aplicables.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90818" w14:textId="754CFFE8" w:rsidR="008F75CF" w:rsidRDefault="00171939">
    <w:pPr>
      <w:pStyle w:val="Header"/>
    </w:pPr>
    <w:r>
      <w:rPr>
        <w:noProof/>
      </w:rPr>
      <w:pict w14:anchorId="260269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949458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CACCB" w14:textId="6971AD28" w:rsidR="00FF24EF" w:rsidRPr="00620587" w:rsidRDefault="00171939">
    <w:pPr>
      <w:pStyle w:val="Header"/>
      <w:rPr>
        <w:rFonts w:ascii="Arial" w:hAnsi="Arial" w:cs="Arial"/>
        <w:sz w:val="20"/>
        <w:lang w:val="es-PR"/>
      </w:rPr>
    </w:pPr>
    <w:r>
      <w:rPr>
        <w:noProof/>
      </w:rPr>
      <w:pict w14:anchorId="490CD5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949459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  <w:r w:rsidR="00FF24EF" w:rsidRPr="00620587">
      <w:rPr>
        <w:rFonts w:ascii="Arial" w:hAnsi="Arial" w:cs="Arial"/>
        <w:sz w:val="20"/>
        <w:lang w:val="es-PR"/>
      </w:rPr>
      <w:t xml:space="preserve">Guía de Procesos Fiscales – Fondos Programa </w:t>
    </w:r>
    <w:r w:rsidR="00FF24EF" w:rsidRPr="00620587">
      <w:rPr>
        <w:rFonts w:ascii="Arial" w:hAnsi="Arial" w:cs="Arial"/>
        <w:i/>
        <w:sz w:val="20"/>
        <w:lang w:val="es-PR"/>
      </w:rPr>
      <w:t>Restart</w:t>
    </w:r>
  </w:p>
  <w:p w14:paraId="310DEF98" w14:textId="77777777" w:rsidR="00FF24EF" w:rsidRPr="001432B6" w:rsidRDefault="00FF24EF">
    <w:pPr>
      <w:pStyle w:val="Header"/>
      <w:rPr>
        <w:lang w:val="es-PR"/>
      </w:rPr>
    </w:pPr>
  </w:p>
  <w:p w14:paraId="7EAD59D4" w14:textId="77777777" w:rsidR="00FF24EF" w:rsidRPr="001432B6" w:rsidRDefault="00FF24EF">
    <w:pPr>
      <w:pStyle w:val="Header"/>
      <w:rPr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CEDE3" w14:textId="2711B6AE" w:rsidR="008F75CF" w:rsidRDefault="00171939">
    <w:pPr>
      <w:pStyle w:val="Header"/>
    </w:pPr>
    <w:r>
      <w:rPr>
        <w:noProof/>
      </w:rPr>
      <w:pict w14:anchorId="6D99E9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949457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3ED"/>
    <w:multiLevelType w:val="hybridMultilevel"/>
    <w:tmpl w:val="E5824DF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00F"/>
    <w:multiLevelType w:val="hybridMultilevel"/>
    <w:tmpl w:val="2030332E"/>
    <w:lvl w:ilvl="0" w:tplc="2F68F1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747E"/>
    <w:multiLevelType w:val="hybridMultilevel"/>
    <w:tmpl w:val="CC46256E"/>
    <w:lvl w:ilvl="0" w:tplc="81E6C9A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20C18"/>
    <w:multiLevelType w:val="hybridMultilevel"/>
    <w:tmpl w:val="9EA0D482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500A0019">
      <w:start w:val="1"/>
      <w:numFmt w:val="lowerLetter"/>
      <w:lvlText w:val="%2."/>
      <w:lvlJc w:val="left"/>
      <w:pPr>
        <w:ind w:left="2595" w:hanging="360"/>
      </w:pPr>
    </w:lvl>
    <w:lvl w:ilvl="2" w:tplc="500A001B" w:tentative="1">
      <w:start w:val="1"/>
      <w:numFmt w:val="lowerRoman"/>
      <w:lvlText w:val="%3."/>
      <w:lvlJc w:val="right"/>
      <w:pPr>
        <w:ind w:left="3315" w:hanging="180"/>
      </w:pPr>
    </w:lvl>
    <w:lvl w:ilvl="3" w:tplc="500A000F" w:tentative="1">
      <w:start w:val="1"/>
      <w:numFmt w:val="decimal"/>
      <w:lvlText w:val="%4."/>
      <w:lvlJc w:val="left"/>
      <w:pPr>
        <w:ind w:left="4035" w:hanging="360"/>
      </w:pPr>
    </w:lvl>
    <w:lvl w:ilvl="4" w:tplc="500A0019" w:tentative="1">
      <w:start w:val="1"/>
      <w:numFmt w:val="lowerLetter"/>
      <w:lvlText w:val="%5."/>
      <w:lvlJc w:val="left"/>
      <w:pPr>
        <w:ind w:left="4755" w:hanging="360"/>
      </w:pPr>
    </w:lvl>
    <w:lvl w:ilvl="5" w:tplc="500A001B" w:tentative="1">
      <w:start w:val="1"/>
      <w:numFmt w:val="lowerRoman"/>
      <w:lvlText w:val="%6."/>
      <w:lvlJc w:val="right"/>
      <w:pPr>
        <w:ind w:left="5475" w:hanging="180"/>
      </w:pPr>
    </w:lvl>
    <w:lvl w:ilvl="6" w:tplc="500A000F" w:tentative="1">
      <w:start w:val="1"/>
      <w:numFmt w:val="decimal"/>
      <w:lvlText w:val="%7."/>
      <w:lvlJc w:val="left"/>
      <w:pPr>
        <w:ind w:left="6195" w:hanging="360"/>
      </w:pPr>
    </w:lvl>
    <w:lvl w:ilvl="7" w:tplc="500A0019" w:tentative="1">
      <w:start w:val="1"/>
      <w:numFmt w:val="lowerLetter"/>
      <w:lvlText w:val="%8."/>
      <w:lvlJc w:val="left"/>
      <w:pPr>
        <w:ind w:left="6915" w:hanging="360"/>
      </w:pPr>
    </w:lvl>
    <w:lvl w:ilvl="8" w:tplc="500A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 w15:restartNumberingAfterBreak="0">
    <w:nsid w:val="1AAA2394"/>
    <w:multiLevelType w:val="hybridMultilevel"/>
    <w:tmpl w:val="AA32E038"/>
    <w:lvl w:ilvl="0" w:tplc="82289C34">
      <w:start w:val="1"/>
      <w:numFmt w:val="upperRoman"/>
      <w:lvlText w:val="%1."/>
      <w:lvlJc w:val="left"/>
      <w:pPr>
        <w:ind w:left="1080" w:hanging="720"/>
      </w:pPr>
      <w:rPr>
        <w:rFonts w:ascii="Cambria Math" w:hAnsi="Cambria Math" w:cs="Calibri" w:hint="default"/>
        <w:color w:val="000000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41A0EED4">
      <w:start w:val="1"/>
      <w:numFmt w:val="upperRoman"/>
      <w:lvlText w:val="%3."/>
      <w:lvlJc w:val="right"/>
      <w:pPr>
        <w:ind w:left="180" w:hanging="180"/>
      </w:pPr>
      <w:rPr>
        <w:rFonts w:ascii="Cambria Math" w:eastAsiaTheme="minorEastAsia" w:hAnsi="Cambria Math" w:cstheme="minorBidi"/>
      </w:r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43ECC"/>
    <w:multiLevelType w:val="hybridMultilevel"/>
    <w:tmpl w:val="B39E24D6"/>
    <w:lvl w:ilvl="0" w:tplc="8F2E799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A6D60"/>
    <w:multiLevelType w:val="hybridMultilevel"/>
    <w:tmpl w:val="B1C8DD22"/>
    <w:lvl w:ilvl="0" w:tplc="25A8E64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54C6E"/>
    <w:multiLevelType w:val="hybridMultilevel"/>
    <w:tmpl w:val="9B4A0540"/>
    <w:lvl w:ilvl="0" w:tplc="292E1DB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6039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2B761052"/>
    <w:multiLevelType w:val="hybridMultilevel"/>
    <w:tmpl w:val="75FA8208"/>
    <w:lvl w:ilvl="0" w:tplc="9CC2489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81562"/>
    <w:multiLevelType w:val="hybridMultilevel"/>
    <w:tmpl w:val="08FE5A8C"/>
    <w:lvl w:ilvl="0" w:tplc="33A6E214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34607335"/>
    <w:multiLevelType w:val="hybridMultilevel"/>
    <w:tmpl w:val="2BA82D9A"/>
    <w:lvl w:ilvl="0" w:tplc="22B24DB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80ED8"/>
    <w:multiLevelType w:val="hybridMultilevel"/>
    <w:tmpl w:val="31C6D8BE"/>
    <w:lvl w:ilvl="0" w:tplc="EBF0FDD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82D9D"/>
    <w:multiLevelType w:val="hybridMultilevel"/>
    <w:tmpl w:val="188615F4"/>
    <w:lvl w:ilvl="0" w:tplc="7438F5BA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F0C15"/>
    <w:multiLevelType w:val="hybridMultilevel"/>
    <w:tmpl w:val="EDEACB5A"/>
    <w:lvl w:ilvl="0" w:tplc="D5F49E2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7A44E8E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67AB41E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96FCF"/>
    <w:multiLevelType w:val="hybridMultilevel"/>
    <w:tmpl w:val="62C0E59A"/>
    <w:lvl w:ilvl="0" w:tplc="604252C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4182F"/>
    <w:multiLevelType w:val="hybridMultilevel"/>
    <w:tmpl w:val="8C5A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739C7"/>
    <w:multiLevelType w:val="hybridMultilevel"/>
    <w:tmpl w:val="F7065FFE"/>
    <w:lvl w:ilvl="0" w:tplc="ED0EB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5062F"/>
    <w:multiLevelType w:val="hybridMultilevel"/>
    <w:tmpl w:val="EAAC5D1A"/>
    <w:lvl w:ilvl="0" w:tplc="8BFA7A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5A8E64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41678"/>
    <w:multiLevelType w:val="hybridMultilevel"/>
    <w:tmpl w:val="669E56DC"/>
    <w:lvl w:ilvl="0" w:tplc="25C2C99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97751"/>
    <w:multiLevelType w:val="hybridMultilevel"/>
    <w:tmpl w:val="B75E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73ED8"/>
    <w:multiLevelType w:val="hybridMultilevel"/>
    <w:tmpl w:val="592E909C"/>
    <w:lvl w:ilvl="0" w:tplc="5C98C1A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62B76"/>
    <w:multiLevelType w:val="hybridMultilevel"/>
    <w:tmpl w:val="0FEC22CE"/>
    <w:lvl w:ilvl="0" w:tplc="84E47FA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526C3"/>
    <w:multiLevelType w:val="hybridMultilevel"/>
    <w:tmpl w:val="2EE8DC4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4CD539A2"/>
    <w:multiLevelType w:val="multilevel"/>
    <w:tmpl w:val="492A20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bullet"/>
      <w:lvlText w:val="-"/>
      <w:lvlJc w:val="left"/>
      <w:pPr>
        <w:ind w:left="4320" w:hanging="360"/>
      </w:pPr>
      <w:rPr>
        <w:rFonts w:ascii="Cambria Math" w:eastAsia="Times New Roman" w:hAnsi="Cambria Math" w:cs="Times New Roman"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251741"/>
    <w:multiLevelType w:val="hybridMultilevel"/>
    <w:tmpl w:val="AA32E038"/>
    <w:lvl w:ilvl="0" w:tplc="82289C34">
      <w:start w:val="1"/>
      <w:numFmt w:val="upperRoman"/>
      <w:lvlText w:val="%1."/>
      <w:lvlJc w:val="left"/>
      <w:pPr>
        <w:ind w:left="720" w:hanging="720"/>
      </w:pPr>
      <w:rPr>
        <w:rFonts w:ascii="Cambria Math" w:hAnsi="Cambria Math" w:cs="Calibri" w:hint="default"/>
        <w:color w:val="000000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41A0EED4">
      <w:start w:val="1"/>
      <w:numFmt w:val="upperRoman"/>
      <w:lvlText w:val="%3."/>
      <w:lvlJc w:val="right"/>
      <w:pPr>
        <w:ind w:left="180" w:hanging="180"/>
      </w:pPr>
      <w:rPr>
        <w:rFonts w:ascii="Cambria Math" w:eastAsiaTheme="minorEastAsia" w:hAnsi="Cambria Math" w:cstheme="minorBidi"/>
      </w:r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03E32"/>
    <w:multiLevelType w:val="hybridMultilevel"/>
    <w:tmpl w:val="6B923850"/>
    <w:lvl w:ilvl="0" w:tplc="2340D9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44F89"/>
    <w:multiLevelType w:val="hybridMultilevel"/>
    <w:tmpl w:val="3B326BBE"/>
    <w:lvl w:ilvl="0" w:tplc="D74E6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109A2"/>
    <w:multiLevelType w:val="hybridMultilevel"/>
    <w:tmpl w:val="4BC8A0C2"/>
    <w:lvl w:ilvl="0" w:tplc="CEB6C2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C7F13"/>
    <w:multiLevelType w:val="hybridMultilevel"/>
    <w:tmpl w:val="8DAA51A6"/>
    <w:lvl w:ilvl="0" w:tplc="B1EC4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F6DAF"/>
    <w:multiLevelType w:val="hybridMultilevel"/>
    <w:tmpl w:val="1E7CF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A843B4"/>
    <w:multiLevelType w:val="hybridMultilevel"/>
    <w:tmpl w:val="C3F62F12"/>
    <w:lvl w:ilvl="0" w:tplc="FCD62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863D2"/>
    <w:multiLevelType w:val="hybridMultilevel"/>
    <w:tmpl w:val="5C3A8A88"/>
    <w:lvl w:ilvl="0" w:tplc="58926BA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AAE06">
      <w:start w:val="1"/>
      <w:numFmt w:val="bullet"/>
      <w:lvlText w:val="›"/>
      <w:lvlJc w:val="left"/>
      <w:pPr>
        <w:ind w:left="1440" w:hanging="360"/>
      </w:pPr>
      <w:rPr>
        <w:rFonts w:ascii="Arial" w:hAnsi="Arial" w:hint="default"/>
      </w:rPr>
    </w:lvl>
    <w:lvl w:ilvl="2" w:tplc="214A838C">
      <w:start w:val="7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364EB"/>
    <w:multiLevelType w:val="hybridMultilevel"/>
    <w:tmpl w:val="D166ED8E"/>
    <w:lvl w:ilvl="0" w:tplc="040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FE1AAE06">
      <w:start w:val="1"/>
      <w:numFmt w:val="bullet"/>
      <w:lvlText w:val="›"/>
      <w:lvlJc w:val="left"/>
      <w:pPr>
        <w:ind w:left="2326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34" w15:restartNumberingAfterBreak="0">
    <w:nsid w:val="634F253B"/>
    <w:multiLevelType w:val="hybridMultilevel"/>
    <w:tmpl w:val="F71ED532"/>
    <w:lvl w:ilvl="0" w:tplc="81D676C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D4445"/>
    <w:multiLevelType w:val="hybridMultilevel"/>
    <w:tmpl w:val="2D3C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47703"/>
    <w:multiLevelType w:val="hybridMultilevel"/>
    <w:tmpl w:val="FDC40A80"/>
    <w:lvl w:ilvl="0" w:tplc="C9E86A1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B5C5C"/>
    <w:multiLevelType w:val="hybridMultilevel"/>
    <w:tmpl w:val="0DEEBB3C"/>
    <w:lvl w:ilvl="0" w:tplc="7EAE4D04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0499A"/>
    <w:multiLevelType w:val="multilevel"/>
    <w:tmpl w:val="492A20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bullet"/>
      <w:lvlText w:val="-"/>
      <w:lvlJc w:val="left"/>
      <w:pPr>
        <w:ind w:left="4320" w:hanging="360"/>
      </w:pPr>
      <w:rPr>
        <w:rFonts w:ascii="Cambria Math" w:eastAsia="Times New Roman" w:hAnsi="Cambria Math" w:cs="Times New Roman"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785D20"/>
    <w:multiLevelType w:val="hybridMultilevel"/>
    <w:tmpl w:val="AC72124E"/>
    <w:lvl w:ilvl="0" w:tplc="AC20CBF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773F5"/>
    <w:multiLevelType w:val="hybridMultilevel"/>
    <w:tmpl w:val="996C6172"/>
    <w:lvl w:ilvl="0" w:tplc="EDCA08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82CD9"/>
    <w:multiLevelType w:val="hybridMultilevel"/>
    <w:tmpl w:val="660C2F0C"/>
    <w:lvl w:ilvl="0" w:tplc="B6429B5E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81357"/>
    <w:multiLevelType w:val="hybridMultilevel"/>
    <w:tmpl w:val="C9FA0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E1AAE06">
      <w:start w:val="1"/>
      <w:numFmt w:val="bullet"/>
      <w:lvlText w:val="›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0F4869"/>
    <w:multiLevelType w:val="hybridMultilevel"/>
    <w:tmpl w:val="F7065FFE"/>
    <w:lvl w:ilvl="0" w:tplc="ED0EBD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16"/>
  </w:num>
  <w:num w:numId="4">
    <w:abstractNumId w:val="43"/>
  </w:num>
  <w:num w:numId="5">
    <w:abstractNumId w:val="10"/>
  </w:num>
  <w:num w:numId="6">
    <w:abstractNumId w:val="29"/>
  </w:num>
  <w:num w:numId="7">
    <w:abstractNumId w:val="18"/>
  </w:num>
  <w:num w:numId="8">
    <w:abstractNumId w:val="23"/>
  </w:num>
  <w:num w:numId="9">
    <w:abstractNumId w:val="12"/>
  </w:num>
  <w:num w:numId="10">
    <w:abstractNumId w:val="32"/>
  </w:num>
  <w:num w:numId="11">
    <w:abstractNumId w:val="7"/>
  </w:num>
  <w:num w:numId="12">
    <w:abstractNumId w:val="2"/>
  </w:num>
  <w:num w:numId="13">
    <w:abstractNumId w:val="42"/>
  </w:num>
  <w:num w:numId="14">
    <w:abstractNumId w:val="33"/>
  </w:num>
  <w:num w:numId="15">
    <w:abstractNumId w:val="34"/>
  </w:num>
  <w:num w:numId="16">
    <w:abstractNumId w:val="28"/>
  </w:num>
  <w:num w:numId="17">
    <w:abstractNumId w:val="21"/>
  </w:num>
  <w:num w:numId="18">
    <w:abstractNumId w:val="14"/>
  </w:num>
  <w:num w:numId="19">
    <w:abstractNumId w:val="13"/>
  </w:num>
  <w:num w:numId="20">
    <w:abstractNumId w:val="3"/>
  </w:num>
  <w:num w:numId="21">
    <w:abstractNumId w:val="39"/>
  </w:num>
  <w:num w:numId="22">
    <w:abstractNumId w:val="17"/>
  </w:num>
  <w:num w:numId="23">
    <w:abstractNumId w:val="20"/>
  </w:num>
  <w:num w:numId="24">
    <w:abstractNumId w:val="31"/>
  </w:num>
  <w:num w:numId="25">
    <w:abstractNumId w:val="1"/>
  </w:num>
  <w:num w:numId="26">
    <w:abstractNumId w:val="0"/>
  </w:num>
  <w:num w:numId="27">
    <w:abstractNumId w:val="37"/>
  </w:num>
  <w:num w:numId="28">
    <w:abstractNumId w:val="26"/>
  </w:num>
  <w:num w:numId="29">
    <w:abstractNumId w:val="22"/>
  </w:num>
  <w:num w:numId="30">
    <w:abstractNumId w:val="6"/>
  </w:num>
  <w:num w:numId="31">
    <w:abstractNumId w:val="11"/>
  </w:num>
  <w:num w:numId="32">
    <w:abstractNumId w:val="8"/>
  </w:num>
  <w:num w:numId="33">
    <w:abstractNumId w:val="5"/>
  </w:num>
  <w:num w:numId="34">
    <w:abstractNumId w:val="40"/>
  </w:num>
  <w:num w:numId="35">
    <w:abstractNumId w:val="19"/>
  </w:num>
  <w:num w:numId="36">
    <w:abstractNumId w:val="15"/>
  </w:num>
  <w:num w:numId="37">
    <w:abstractNumId w:val="27"/>
  </w:num>
  <w:num w:numId="38">
    <w:abstractNumId w:val="41"/>
  </w:num>
  <w:num w:numId="39">
    <w:abstractNumId w:val="36"/>
  </w:num>
  <w:num w:numId="40">
    <w:abstractNumId w:val="24"/>
  </w:num>
  <w:num w:numId="41">
    <w:abstractNumId w:val="38"/>
  </w:num>
  <w:num w:numId="42">
    <w:abstractNumId w:val="9"/>
  </w:num>
  <w:num w:numId="43">
    <w:abstractNumId w:val="25"/>
  </w:num>
  <w:num w:numId="44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CC"/>
    <w:rsid w:val="000004A3"/>
    <w:rsid w:val="00002BFB"/>
    <w:rsid w:val="000030B6"/>
    <w:rsid w:val="000038AA"/>
    <w:rsid w:val="00004D8D"/>
    <w:rsid w:val="00007C92"/>
    <w:rsid w:val="00010DAC"/>
    <w:rsid w:val="000123C6"/>
    <w:rsid w:val="000126CA"/>
    <w:rsid w:val="0001372D"/>
    <w:rsid w:val="000207DD"/>
    <w:rsid w:val="00020A89"/>
    <w:rsid w:val="00021F9A"/>
    <w:rsid w:val="00022696"/>
    <w:rsid w:val="00023551"/>
    <w:rsid w:val="00026039"/>
    <w:rsid w:val="000270A2"/>
    <w:rsid w:val="00027C6C"/>
    <w:rsid w:val="00030087"/>
    <w:rsid w:val="00030C9E"/>
    <w:rsid w:val="00032954"/>
    <w:rsid w:val="00033F0E"/>
    <w:rsid w:val="000341B8"/>
    <w:rsid w:val="00034224"/>
    <w:rsid w:val="00034E55"/>
    <w:rsid w:val="00035713"/>
    <w:rsid w:val="00035CA1"/>
    <w:rsid w:val="00035E79"/>
    <w:rsid w:val="0003678E"/>
    <w:rsid w:val="00036BBC"/>
    <w:rsid w:val="000408C0"/>
    <w:rsid w:val="00040B32"/>
    <w:rsid w:val="000416EE"/>
    <w:rsid w:val="000431C2"/>
    <w:rsid w:val="00043409"/>
    <w:rsid w:val="00043523"/>
    <w:rsid w:val="00043CC7"/>
    <w:rsid w:val="0004688F"/>
    <w:rsid w:val="0005059F"/>
    <w:rsid w:val="0005407E"/>
    <w:rsid w:val="0005540C"/>
    <w:rsid w:val="00057F0E"/>
    <w:rsid w:val="000612EF"/>
    <w:rsid w:val="000632ED"/>
    <w:rsid w:val="00071464"/>
    <w:rsid w:val="00071A59"/>
    <w:rsid w:val="00071B18"/>
    <w:rsid w:val="0007274D"/>
    <w:rsid w:val="000727D1"/>
    <w:rsid w:val="000735C1"/>
    <w:rsid w:val="00074ADE"/>
    <w:rsid w:val="00074DA2"/>
    <w:rsid w:val="00075636"/>
    <w:rsid w:val="00075D0C"/>
    <w:rsid w:val="00075D1E"/>
    <w:rsid w:val="00076359"/>
    <w:rsid w:val="00076694"/>
    <w:rsid w:val="00076922"/>
    <w:rsid w:val="00076F47"/>
    <w:rsid w:val="00077FCE"/>
    <w:rsid w:val="0008152F"/>
    <w:rsid w:val="00081A45"/>
    <w:rsid w:val="000826A0"/>
    <w:rsid w:val="000827CB"/>
    <w:rsid w:val="00082D03"/>
    <w:rsid w:val="00084192"/>
    <w:rsid w:val="000903AE"/>
    <w:rsid w:val="00091031"/>
    <w:rsid w:val="00091270"/>
    <w:rsid w:val="0009156D"/>
    <w:rsid w:val="0009229C"/>
    <w:rsid w:val="0009463C"/>
    <w:rsid w:val="00095851"/>
    <w:rsid w:val="00097AA3"/>
    <w:rsid w:val="00097B5E"/>
    <w:rsid w:val="000A1AB7"/>
    <w:rsid w:val="000A29F0"/>
    <w:rsid w:val="000A53C4"/>
    <w:rsid w:val="000A5585"/>
    <w:rsid w:val="000A5970"/>
    <w:rsid w:val="000A5A13"/>
    <w:rsid w:val="000A5C55"/>
    <w:rsid w:val="000A7273"/>
    <w:rsid w:val="000A7366"/>
    <w:rsid w:val="000B034D"/>
    <w:rsid w:val="000B16E9"/>
    <w:rsid w:val="000B2821"/>
    <w:rsid w:val="000B57E0"/>
    <w:rsid w:val="000C0242"/>
    <w:rsid w:val="000C3388"/>
    <w:rsid w:val="000C387B"/>
    <w:rsid w:val="000C411D"/>
    <w:rsid w:val="000C5051"/>
    <w:rsid w:val="000C5358"/>
    <w:rsid w:val="000C5545"/>
    <w:rsid w:val="000C5C2B"/>
    <w:rsid w:val="000D0935"/>
    <w:rsid w:val="000D0CF5"/>
    <w:rsid w:val="000D0E90"/>
    <w:rsid w:val="000D1230"/>
    <w:rsid w:val="000D2040"/>
    <w:rsid w:val="000D2EC9"/>
    <w:rsid w:val="000D4F18"/>
    <w:rsid w:val="000D553F"/>
    <w:rsid w:val="000D5E6F"/>
    <w:rsid w:val="000D5F0D"/>
    <w:rsid w:val="000D66C3"/>
    <w:rsid w:val="000E0CB3"/>
    <w:rsid w:val="000E18CB"/>
    <w:rsid w:val="000E3740"/>
    <w:rsid w:val="000E720B"/>
    <w:rsid w:val="000F0437"/>
    <w:rsid w:val="000F1C35"/>
    <w:rsid w:val="000F1F34"/>
    <w:rsid w:val="000F216B"/>
    <w:rsid w:val="000F3234"/>
    <w:rsid w:val="000F3852"/>
    <w:rsid w:val="000F3FD4"/>
    <w:rsid w:val="000F42F0"/>
    <w:rsid w:val="000F7358"/>
    <w:rsid w:val="0010042A"/>
    <w:rsid w:val="001006C5"/>
    <w:rsid w:val="0010506E"/>
    <w:rsid w:val="00105651"/>
    <w:rsid w:val="0010722D"/>
    <w:rsid w:val="00107382"/>
    <w:rsid w:val="0010753E"/>
    <w:rsid w:val="001100BD"/>
    <w:rsid w:val="001102B9"/>
    <w:rsid w:val="00111622"/>
    <w:rsid w:val="00112406"/>
    <w:rsid w:val="0011363E"/>
    <w:rsid w:val="00113E2F"/>
    <w:rsid w:val="001148A5"/>
    <w:rsid w:val="00114DF9"/>
    <w:rsid w:val="001235D4"/>
    <w:rsid w:val="00123D23"/>
    <w:rsid w:val="00125BD5"/>
    <w:rsid w:val="00126286"/>
    <w:rsid w:val="00126B1F"/>
    <w:rsid w:val="00126F26"/>
    <w:rsid w:val="00131B05"/>
    <w:rsid w:val="0013235F"/>
    <w:rsid w:val="00134104"/>
    <w:rsid w:val="00135431"/>
    <w:rsid w:val="001364E0"/>
    <w:rsid w:val="0013759A"/>
    <w:rsid w:val="00142F64"/>
    <w:rsid w:val="001432B6"/>
    <w:rsid w:val="00144A8C"/>
    <w:rsid w:val="00145575"/>
    <w:rsid w:val="001456EE"/>
    <w:rsid w:val="00145888"/>
    <w:rsid w:val="00145E3A"/>
    <w:rsid w:val="00146907"/>
    <w:rsid w:val="00151771"/>
    <w:rsid w:val="00151DB3"/>
    <w:rsid w:val="0015329E"/>
    <w:rsid w:val="0015343A"/>
    <w:rsid w:val="001534D3"/>
    <w:rsid w:val="00156658"/>
    <w:rsid w:val="00160CD5"/>
    <w:rsid w:val="00167252"/>
    <w:rsid w:val="0017127E"/>
    <w:rsid w:val="00171939"/>
    <w:rsid w:val="0017193F"/>
    <w:rsid w:val="00172396"/>
    <w:rsid w:val="001729FC"/>
    <w:rsid w:val="00173AAD"/>
    <w:rsid w:val="00175996"/>
    <w:rsid w:val="00177082"/>
    <w:rsid w:val="0018054D"/>
    <w:rsid w:val="00180E4B"/>
    <w:rsid w:val="00182B02"/>
    <w:rsid w:val="00183078"/>
    <w:rsid w:val="001870A6"/>
    <w:rsid w:val="00190004"/>
    <w:rsid w:val="0019020B"/>
    <w:rsid w:val="00191786"/>
    <w:rsid w:val="00193344"/>
    <w:rsid w:val="001959B3"/>
    <w:rsid w:val="00195EEC"/>
    <w:rsid w:val="001A3127"/>
    <w:rsid w:val="001A3784"/>
    <w:rsid w:val="001A3A36"/>
    <w:rsid w:val="001A4BD6"/>
    <w:rsid w:val="001A63A9"/>
    <w:rsid w:val="001A65C6"/>
    <w:rsid w:val="001B1ABB"/>
    <w:rsid w:val="001B299A"/>
    <w:rsid w:val="001B3DBB"/>
    <w:rsid w:val="001B41E3"/>
    <w:rsid w:val="001C0E64"/>
    <w:rsid w:val="001C1494"/>
    <w:rsid w:val="001C17FE"/>
    <w:rsid w:val="001C3D92"/>
    <w:rsid w:val="001C452E"/>
    <w:rsid w:val="001C74BD"/>
    <w:rsid w:val="001D0046"/>
    <w:rsid w:val="001D039A"/>
    <w:rsid w:val="001D0FC0"/>
    <w:rsid w:val="001D22D3"/>
    <w:rsid w:val="001D2F78"/>
    <w:rsid w:val="001D461B"/>
    <w:rsid w:val="001D5970"/>
    <w:rsid w:val="001D6127"/>
    <w:rsid w:val="001D78C6"/>
    <w:rsid w:val="001E0285"/>
    <w:rsid w:val="001E1EB8"/>
    <w:rsid w:val="001E2960"/>
    <w:rsid w:val="001E4626"/>
    <w:rsid w:val="001E5A1E"/>
    <w:rsid w:val="001E782E"/>
    <w:rsid w:val="001F0E28"/>
    <w:rsid w:val="001F2F00"/>
    <w:rsid w:val="001F3AF4"/>
    <w:rsid w:val="001F6A0F"/>
    <w:rsid w:val="001F6A28"/>
    <w:rsid w:val="001F6BC6"/>
    <w:rsid w:val="001F76EC"/>
    <w:rsid w:val="002000F1"/>
    <w:rsid w:val="0020052D"/>
    <w:rsid w:val="00200AF0"/>
    <w:rsid w:val="002017AE"/>
    <w:rsid w:val="00204B3C"/>
    <w:rsid w:val="002066FE"/>
    <w:rsid w:val="0020725E"/>
    <w:rsid w:val="00211527"/>
    <w:rsid w:val="00212350"/>
    <w:rsid w:val="00214664"/>
    <w:rsid w:val="00214789"/>
    <w:rsid w:val="0021495C"/>
    <w:rsid w:val="00215AD4"/>
    <w:rsid w:val="00221F9E"/>
    <w:rsid w:val="00222118"/>
    <w:rsid w:val="0022283B"/>
    <w:rsid w:val="00222B60"/>
    <w:rsid w:val="00223AB0"/>
    <w:rsid w:val="00225ECC"/>
    <w:rsid w:val="002263FE"/>
    <w:rsid w:val="002318C5"/>
    <w:rsid w:val="00232727"/>
    <w:rsid w:val="00232C84"/>
    <w:rsid w:val="00233AE4"/>
    <w:rsid w:val="002352D1"/>
    <w:rsid w:val="0023567D"/>
    <w:rsid w:val="002359C7"/>
    <w:rsid w:val="00235B77"/>
    <w:rsid w:val="00235D75"/>
    <w:rsid w:val="00237915"/>
    <w:rsid w:val="00241C43"/>
    <w:rsid w:val="00242DA7"/>
    <w:rsid w:val="00242EA8"/>
    <w:rsid w:val="002447F4"/>
    <w:rsid w:val="00245ECF"/>
    <w:rsid w:val="00245F37"/>
    <w:rsid w:val="00246C34"/>
    <w:rsid w:val="00250496"/>
    <w:rsid w:val="002507A6"/>
    <w:rsid w:val="0025209F"/>
    <w:rsid w:val="00255E34"/>
    <w:rsid w:val="002565F4"/>
    <w:rsid w:val="002574C8"/>
    <w:rsid w:val="00257E1C"/>
    <w:rsid w:val="00257EEB"/>
    <w:rsid w:val="002601EA"/>
    <w:rsid w:val="0026087C"/>
    <w:rsid w:val="00263548"/>
    <w:rsid w:val="0026481B"/>
    <w:rsid w:val="002701BD"/>
    <w:rsid w:val="0027477C"/>
    <w:rsid w:val="00274A75"/>
    <w:rsid w:val="0027551B"/>
    <w:rsid w:val="002755F6"/>
    <w:rsid w:val="00276022"/>
    <w:rsid w:val="002766D8"/>
    <w:rsid w:val="0027798C"/>
    <w:rsid w:val="00281054"/>
    <w:rsid w:val="002879EC"/>
    <w:rsid w:val="00290D59"/>
    <w:rsid w:val="00291878"/>
    <w:rsid w:val="00293A78"/>
    <w:rsid w:val="00295AA6"/>
    <w:rsid w:val="002961EF"/>
    <w:rsid w:val="00297783"/>
    <w:rsid w:val="002A0002"/>
    <w:rsid w:val="002A2E1C"/>
    <w:rsid w:val="002A40EA"/>
    <w:rsid w:val="002A6549"/>
    <w:rsid w:val="002A7D24"/>
    <w:rsid w:val="002B07E5"/>
    <w:rsid w:val="002B0E3E"/>
    <w:rsid w:val="002B2AD9"/>
    <w:rsid w:val="002B38D3"/>
    <w:rsid w:val="002C0E3E"/>
    <w:rsid w:val="002C0E91"/>
    <w:rsid w:val="002C31F8"/>
    <w:rsid w:val="002C568A"/>
    <w:rsid w:val="002C6772"/>
    <w:rsid w:val="002D0C50"/>
    <w:rsid w:val="002D11AA"/>
    <w:rsid w:val="002D7B99"/>
    <w:rsid w:val="002E1DD2"/>
    <w:rsid w:val="002E375D"/>
    <w:rsid w:val="002E4663"/>
    <w:rsid w:val="002E5D0B"/>
    <w:rsid w:val="002F2AE0"/>
    <w:rsid w:val="002F2C6D"/>
    <w:rsid w:val="002F3199"/>
    <w:rsid w:val="002F3C28"/>
    <w:rsid w:val="002F55C0"/>
    <w:rsid w:val="002F5E04"/>
    <w:rsid w:val="002F6DFD"/>
    <w:rsid w:val="002F7440"/>
    <w:rsid w:val="002F7C64"/>
    <w:rsid w:val="00302B34"/>
    <w:rsid w:val="003037FA"/>
    <w:rsid w:val="00303A30"/>
    <w:rsid w:val="00303DC4"/>
    <w:rsid w:val="00304798"/>
    <w:rsid w:val="00307286"/>
    <w:rsid w:val="00313054"/>
    <w:rsid w:val="00313508"/>
    <w:rsid w:val="00314180"/>
    <w:rsid w:val="0031445A"/>
    <w:rsid w:val="00315AD3"/>
    <w:rsid w:val="00316828"/>
    <w:rsid w:val="00317992"/>
    <w:rsid w:val="00320E8E"/>
    <w:rsid w:val="00320F41"/>
    <w:rsid w:val="0032246B"/>
    <w:rsid w:val="00322FEF"/>
    <w:rsid w:val="003238FB"/>
    <w:rsid w:val="00325964"/>
    <w:rsid w:val="00325D35"/>
    <w:rsid w:val="0032779C"/>
    <w:rsid w:val="003278D5"/>
    <w:rsid w:val="00330ACF"/>
    <w:rsid w:val="0033407C"/>
    <w:rsid w:val="00334B2C"/>
    <w:rsid w:val="00335380"/>
    <w:rsid w:val="00335D82"/>
    <w:rsid w:val="00335F5E"/>
    <w:rsid w:val="00340727"/>
    <w:rsid w:val="0034091F"/>
    <w:rsid w:val="00341E3D"/>
    <w:rsid w:val="003422AE"/>
    <w:rsid w:val="00344ADC"/>
    <w:rsid w:val="003455C3"/>
    <w:rsid w:val="00350C10"/>
    <w:rsid w:val="003511A7"/>
    <w:rsid w:val="0035193A"/>
    <w:rsid w:val="003540A4"/>
    <w:rsid w:val="00354490"/>
    <w:rsid w:val="00354D5D"/>
    <w:rsid w:val="00355BF9"/>
    <w:rsid w:val="00357300"/>
    <w:rsid w:val="00357442"/>
    <w:rsid w:val="00357A4B"/>
    <w:rsid w:val="003613F2"/>
    <w:rsid w:val="0036246E"/>
    <w:rsid w:val="00364F12"/>
    <w:rsid w:val="003655CC"/>
    <w:rsid w:val="00365690"/>
    <w:rsid w:val="00365927"/>
    <w:rsid w:val="0036697D"/>
    <w:rsid w:val="00366EFC"/>
    <w:rsid w:val="00372EE8"/>
    <w:rsid w:val="00373569"/>
    <w:rsid w:val="0037528A"/>
    <w:rsid w:val="003773E1"/>
    <w:rsid w:val="00384AAE"/>
    <w:rsid w:val="0038544E"/>
    <w:rsid w:val="003867A5"/>
    <w:rsid w:val="0039296F"/>
    <w:rsid w:val="00392FE7"/>
    <w:rsid w:val="00394BF7"/>
    <w:rsid w:val="00395592"/>
    <w:rsid w:val="0039563A"/>
    <w:rsid w:val="00395987"/>
    <w:rsid w:val="00395CCF"/>
    <w:rsid w:val="00396717"/>
    <w:rsid w:val="003A388D"/>
    <w:rsid w:val="003A708C"/>
    <w:rsid w:val="003A741B"/>
    <w:rsid w:val="003B059A"/>
    <w:rsid w:val="003B1014"/>
    <w:rsid w:val="003B1AF8"/>
    <w:rsid w:val="003B1CAB"/>
    <w:rsid w:val="003B2109"/>
    <w:rsid w:val="003B30EE"/>
    <w:rsid w:val="003B3EB1"/>
    <w:rsid w:val="003B571C"/>
    <w:rsid w:val="003C10A1"/>
    <w:rsid w:val="003C24F1"/>
    <w:rsid w:val="003C2598"/>
    <w:rsid w:val="003C5C48"/>
    <w:rsid w:val="003C6112"/>
    <w:rsid w:val="003D0C39"/>
    <w:rsid w:val="003D2C91"/>
    <w:rsid w:val="003D61A0"/>
    <w:rsid w:val="003D708B"/>
    <w:rsid w:val="003D7BF6"/>
    <w:rsid w:val="003D7F41"/>
    <w:rsid w:val="003E3A38"/>
    <w:rsid w:val="003E73C9"/>
    <w:rsid w:val="003F093A"/>
    <w:rsid w:val="003F0EA9"/>
    <w:rsid w:val="003F57F3"/>
    <w:rsid w:val="003F58AB"/>
    <w:rsid w:val="003F6245"/>
    <w:rsid w:val="003F6FA9"/>
    <w:rsid w:val="003F7428"/>
    <w:rsid w:val="004007BC"/>
    <w:rsid w:val="00400AF4"/>
    <w:rsid w:val="004027A1"/>
    <w:rsid w:val="00404C6E"/>
    <w:rsid w:val="00404E74"/>
    <w:rsid w:val="00404FCE"/>
    <w:rsid w:val="00405593"/>
    <w:rsid w:val="004056E2"/>
    <w:rsid w:val="00410806"/>
    <w:rsid w:val="00410964"/>
    <w:rsid w:val="00410AB0"/>
    <w:rsid w:val="00410E70"/>
    <w:rsid w:val="00411CF4"/>
    <w:rsid w:val="00412036"/>
    <w:rsid w:val="00414E81"/>
    <w:rsid w:val="0041609B"/>
    <w:rsid w:val="0041632F"/>
    <w:rsid w:val="0041648A"/>
    <w:rsid w:val="00421C41"/>
    <w:rsid w:val="00421F3C"/>
    <w:rsid w:val="0042421F"/>
    <w:rsid w:val="00425E4F"/>
    <w:rsid w:val="0042640D"/>
    <w:rsid w:val="00426433"/>
    <w:rsid w:val="00431E61"/>
    <w:rsid w:val="00432796"/>
    <w:rsid w:val="00433E7F"/>
    <w:rsid w:val="00436453"/>
    <w:rsid w:val="004367E5"/>
    <w:rsid w:val="00441969"/>
    <w:rsid w:val="00441D3C"/>
    <w:rsid w:val="004439F5"/>
    <w:rsid w:val="00444C63"/>
    <w:rsid w:val="00451CF7"/>
    <w:rsid w:val="00454BDB"/>
    <w:rsid w:val="00461F2C"/>
    <w:rsid w:val="00463618"/>
    <w:rsid w:val="00465A7F"/>
    <w:rsid w:val="00466595"/>
    <w:rsid w:val="0046692D"/>
    <w:rsid w:val="00470546"/>
    <w:rsid w:val="00470599"/>
    <w:rsid w:val="00471539"/>
    <w:rsid w:val="00471EFA"/>
    <w:rsid w:val="004720D7"/>
    <w:rsid w:val="0047356D"/>
    <w:rsid w:val="00475E79"/>
    <w:rsid w:val="00484F6A"/>
    <w:rsid w:val="00485437"/>
    <w:rsid w:val="00485CFF"/>
    <w:rsid w:val="00485E32"/>
    <w:rsid w:val="0048672B"/>
    <w:rsid w:val="00487430"/>
    <w:rsid w:val="00494D51"/>
    <w:rsid w:val="00495389"/>
    <w:rsid w:val="00497D66"/>
    <w:rsid w:val="00497F3E"/>
    <w:rsid w:val="004A0EB6"/>
    <w:rsid w:val="004A52E4"/>
    <w:rsid w:val="004A5527"/>
    <w:rsid w:val="004A5F4B"/>
    <w:rsid w:val="004A6743"/>
    <w:rsid w:val="004A7111"/>
    <w:rsid w:val="004B2FCC"/>
    <w:rsid w:val="004B3593"/>
    <w:rsid w:val="004B392C"/>
    <w:rsid w:val="004B4D80"/>
    <w:rsid w:val="004B7459"/>
    <w:rsid w:val="004B7817"/>
    <w:rsid w:val="004C6819"/>
    <w:rsid w:val="004C6834"/>
    <w:rsid w:val="004C7607"/>
    <w:rsid w:val="004D2090"/>
    <w:rsid w:val="004D4E0D"/>
    <w:rsid w:val="004D76EE"/>
    <w:rsid w:val="004D7806"/>
    <w:rsid w:val="004D7E23"/>
    <w:rsid w:val="004E0C7F"/>
    <w:rsid w:val="004E3E45"/>
    <w:rsid w:val="004E4587"/>
    <w:rsid w:val="004E50C4"/>
    <w:rsid w:val="004F09A1"/>
    <w:rsid w:val="004F1AB2"/>
    <w:rsid w:val="004F1D8C"/>
    <w:rsid w:val="004F305F"/>
    <w:rsid w:val="004F35A5"/>
    <w:rsid w:val="004F59EF"/>
    <w:rsid w:val="0050202B"/>
    <w:rsid w:val="0050311F"/>
    <w:rsid w:val="00503A19"/>
    <w:rsid w:val="00505F26"/>
    <w:rsid w:val="00506BF7"/>
    <w:rsid w:val="00506E44"/>
    <w:rsid w:val="0050755F"/>
    <w:rsid w:val="00507F24"/>
    <w:rsid w:val="00510277"/>
    <w:rsid w:val="005104E7"/>
    <w:rsid w:val="005114E5"/>
    <w:rsid w:val="00514ED6"/>
    <w:rsid w:val="00515781"/>
    <w:rsid w:val="00520EC7"/>
    <w:rsid w:val="00521643"/>
    <w:rsid w:val="00521D0B"/>
    <w:rsid w:val="0052203F"/>
    <w:rsid w:val="00522216"/>
    <w:rsid w:val="00522360"/>
    <w:rsid w:val="00524D6D"/>
    <w:rsid w:val="00525D23"/>
    <w:rsid w:val="005261C8"/>
    <w:rsid w:val="0052697F"/>
    <w:rsid w:val="00526DB4"/>
    <w:rsid w:val="00527B66"/>
    <w:rsid w:val="00527EE9"/>
    <w:rsid w:val="00527F75"/>
    <w:rsid w:val="00530F61"/>
    <w:rsid w:val="005362E4"/>
    <w:rsid w:val="005373B4"/>
    <w:rsid w:val="00541477"/>
    <w:rsid w:val="00541575"/>
    <w:rsid w:val="00542FAA"/>
    <w:rsid w:val="00543AD4"/>
    <w:rsid w:val="005443AC"/>
    <w:rsid w:val="00545C8E"/>
    <w:rsid w:val="00547536"/>
    <w:rsid w:val="00547B96"/>
    <w:rsid w:val="0055051B"/>
    <w:rsid w:val="00554855"/>
    <w:rsid w:val="00555321"/>
    <w:rsid w:val="00555345"/>
    <w:rsid w:val="005567EC"/>
    <w:rsid w:val="00556DCC"/>
    <w:rsid w:val="00556E6B"/>
    <w:rsid w:val="00556ECC"/>
    <w:rsid w:val="005605D9"/>
    <w:rsid w:val="005667C2"/>
    <w:rsid w:val="00570E9E"/>
    <w:rsid w:val="0057111B"/>
    <w:rsid w:val="005713C1"/>
    <w:rsid w:val="00573ED8"/>
    <w:rsid w:val="005744F1"/>
    <w:rsid w:val="005748C5"/>
    <w:rsid w:val="0057572E"/>
    <w:rsid w:val="00581DCF"/>
    <w:rsid w:val="00582766"/>
    <w:rsid w:val="00584956"/>
    <w:rsid w:val="00587884"/>
    <w:rsid w:val="00590A77"/>
    <w:rsid w:val="00593094"/>
    <w:rsid w:val="005940CB"/>
    <w:rsid w:val="0059519E"/>
    <w:rsid w:val="005956FB"/>
    <w:rsid w:val="005962B2"/>
    <w:rsid w:val="00596F15"/>
    <w:rsid w:val="00597A1F"/>
    <w:rsid w:val="005A1C04"/>
    <w:rsid w:val="005A2526"/>
    <w:rsid w:val="005A37E1"/>
    <w:rsid w:val="005A3C84"/>
    <w:rsid w:val="005A4BFC"/>
    <w:rsid w:val="005A5381"/>
    <w:rsid w:val="005A5482"/>
    <w:rsid w:val="005A575D"/>
    <w:rsid w:val="005A5865"/>
    <w:rsid w:val="005A6574"/>
    <w:rsid w:val="005B0659"/>
    <w:rsid w:val="005B1513"/>
    <w:rsid w:val="005B4A8C"/>
    <w:rsid w:val="005B5B33"/>
    <w:rsid w:val="005B7AED"/>
    <w:rsid w:val="005C0556"/>
    <w:rsid w:val="005C0777"/>
    <w:rsid w:val="005C1435"/>
    <w:rsid w:val="005C3024"/>
    <w:rsid w:val="005C3610"/>
    <w:rsid w:val="005C6601"/>
    <w:rsid w:val="005D01DB"/>
    <w:rsid w:val="005D23D3"/>
    <w:rsid w:val="005D2BBB"/>
    <w:rsid w:val="005D363A"/>
    <w:rsid w:val="005D4FAF"/>
    <w:rsid w:val="005D55D4"/>
    <w:rsid w:val="005D5C39"/>
    <w:rsid w:val="005D646B"/>
    <w:rsid w:val="005D6BC0"/>
    <w:rsid w:val="005D713A"/>
    <w:rsid w:val="005D7FC8"/>
    <w:rsid w:val="005E1B18"/>
    <w:rsid w:val="005E1F55"/>
    <w:rsid w:val="005E26B4"/>
    <w:rsid w:val="005E3CA3"/>
    <w:rsid w:val="005E497D"/>
    <w:rsid w:val="005E4A67"/>
    <w:rsid w:val="005E4DC9"/>
    <w:rsid w:val="005E5013"/>
    <w:rsid w:val="005E59AB"/>
    <w:rsid w:val="005E799E"/>
    <w:rsid w:val="005F0FE6"/>
    <w:rsid w:val="005F18B7"/>
    <w:rsid w:val="005F25B8"/>
    <w:rsid w:val="005F626F"/>
    <w:rsid w:val="005F7DB9"/>
    <w:rsid w:val="006021F7"/>
    <w:rsid w:val="00602A1A"/>
    <w:rsid w:val="00603033"/>
    <w:rsid w:val="0060358B"/>
    <w:rsid w:val="00603CD4"/>
    <w:rsid w:val="006055D6"/>
    <w:rsid w:val="006062B7"/>
    <w:rsid w:val="00606463"/>
    <w:rsid w:val="00606CB3"/>
    <w:rsid w:val="00607D20"/>
    <w:rsid w:val="00607FE7"/>
    <w:rsid w:val="00610A9A"/>
    <w:rsid w:val="0061194B"/>
    <w:rsid w:val="00611F4E"/>
    <w:rsid w:val="00613643"/>
    <w:rsid w:val="00613ACA"/>
    <w:rsid w:val="006154E2"/>
    <w:rsid w:val="00616D2A"/>
    <w:rsid w:val="006200C1"/>
    <w:rsid w:val="00620587"/>
    <w:rsid w:val="006215C4"/>
    <w:rsid w:val="00624061"/>
    <w:rsid w:val="00624219"/>
    <w:rsid w:val="00624E90"/>
    <w:rsid w:val="00625E7A"/>
    <w:rsid w:val="00626C65"/>
    <w:rsid w:val="00627D6A"/>
    <w:rsid w:val="006314C2"/>
    <w:rsid w:val="00632BBC"/>
    <w:rsid w:val="006360DF"/>
    <w:rsid w:val="0063638A"/>
    <w:rsid w:val="00637242"/>
    <w:rsid w:val="00640531"/>
    <w:rsid w:val="006447F3"/>
    <w:rsid w:val="0064566F"/>
    <w:rsid w:val="00647CC0"/>
    <w:rsid w:val="0065038F"/>
    <w:rsid w:val="0065279A"/>
    <w:rsid w:val="0065407A"/>
    <w:rsid w:val="006604D4"/>
    <w:rsid w:val="00660D48"/>
    <w:rsid w:val="00660DFC"/>
    <w:rsid w:val="006612BF"/>
    <w:rsid w:val="00661518"/>
    <w:rsid w:val="006646CD"/>
    <w:rsid w:val="00665DC7"/>
    <w:rsid w:val="00665E19"/>
    <w:rsid w:val="00667D75"/>
    <w:rsid w:val="00672EC9"/>
    <w:rsid w:val="00673696"/>
    <w:rsid w:val="006764B6"/>
    <w:rsid w:val="00680F6F"/>
    <w:rsid w:val="006813A6"/>
    <w:rsid w:val="0068185B"/>
    <w:rsid w:val="00681B4D"/>
    <w:rsid w:val="0068394D"/>
    <w:rsid w:val="006935A7"/>
    <w:rsid w:val="006946F6"/>
    <w:rsid w:val="0069619A"/>
    <w:rsid w:val="006975F9"/>
    <w:rsid w:val="006A1B17"/>
    <w:rsid w:val="006A2D68"/>
    <w:rsid w:val="006A4165"/>
    <w:rsid w:val="006A4AEF"/>
    <w:rsid w:val="006A52BF"/>
    <w:rsid w:val="006A5CA8"/>
    <w:rsid w:val="006A68CD"/>
    <w:rsid w:val="006A69FF"/>
    <w:rsid w:val="006B02E7"/>
    <w:rsid w:val="006B2DFA"/>
    <w:rsid w:val="006B3095"/>
    <w:rsid w:val="006B54C8"/>
    <w:rsid w:val="006B5F23"/>
    <w:rsid w:val="006B7254"/>
    <w:rsid w:val="006C0179"/>
    <w:rsid w:val="006C0D75"/>
    <w:rsid w:val="006C2A82"/>
    <w:rsid w:val="006C3079"/>
    <w:rsid w:val="006C3BED"/>
    <w:rsid w:val="006C3BF7"/>
    <w:rsid w:val="006C4C38"/>
    <w:rsid w:val="006C5879"/>
    <w:rsid w:val="006D074A"/>
    <w:rsid w:val="006D1873"/>
    <w:rsid w:val="006D30FC"/>
    <w:rsid w:val="006D3862"/>
    <w:rsid w:val="006D38B0"/>
    <w:rsid w:val="006D5BE1"/>
    <w:rsid w:val="006E05E0"/>
    <w:rsid w:val="006E11B4"/>
    <w:rsid w:val="006E29DD"/>
    <w:rsid w:val="006E42AE"/>
    <w:rsid w:val="006F0429"/>
    <w:rsid w:val="006F0D31"/>
    <w:rsid w:val="006F0DF7"/>
    <w:rsid w:val="006F10F7"/>
    <w:rsid w:val="006F23C0"/>
    <w:rsid w:val="006F454F"/>
    <w:rsid w:val="006F5871"/>
    <w:rsid w:val="0070085E"/>
    <w:rsid w:val="00700C11"/>
    <w:rsid w:val="00700C9A"/>
    <w:rsid w:val="00701ABD"/>
    <w:rsid w:val="0070216E"/>
    <w:rsid w:val="00704297"/>
    <w:rsid w:val="00705E67"/>
    <w:rsid w:val="00706882"/>
    <w:rsid w:val="007071A9"/>
    <w:rsid w:val="00711587"/>
    <w:rsid w:val="00711739"/>
    <w:rsid w:val="0071199C"/>
    <w:rsid w:val="00712459"/>
    <w:rsid w:val="00714DCA"/>
    <w:rsid w:val="007150A6"/>
    <w:rsid w:val="00720DF0"/>
    <w:rsid w:val="00720F00"/>
    <w:rsid w:val="007219C8"/>
    <w:rsid w:val="00722006"/>
    <w:rsid w:val="00722080"/>
    <w:rsid w:val="0072242E"/>
    <w:rsid w:val="00723C1F"/>
    <w:rsid w:val="00725284"/>
    <w:rsid w:val="00726BF8"/>
    <w:rsid w:val="0072752F"/>
    <w:rsid w:val="007275D6"/>
    <w:rsid w:val="007277F7"/>
    <w:rsid w:val="00730198"/>
    <w:rsid w:val="00730ABF"/>
    <w:rsid w:val="007314A9"/>
    <w:rsid w:val="0073259C"/>
    <w:rsid w:val="0073315D"/>
    <w:rsid w:val="00735D45"/>
    <w:rsid w:val="00736086"/>
    <w:rsid w:val="007364A4"/>
    <w:rsid w:val="0073790C"/>
    <w:rsid w:val="00737D60"/>
    <w:rsid w:val="00741345"/>
    <w:rsid w:val="00746074"/>
    <w:rsid w:val="00746EB7"/>
    <w:rsid w:val="00747120"/>
    <w:rsid w:val="0074721A"/>
    <w:rsid w:val="00750674"/>
    <w:rsid w:val="0075094C"/>
    <w:rsid w:val="0075137A"/>
    <w:rsid w:val="007535F8"/>
    <w:rsid w:val="007537C5"/>
    <w:rsid w:val="007543AA"/>
    <w:rsid w:val="00754B1D"/>
    <w:rsid w:val="00757BCB"/>
    <w:rsid w:val="007623D8"/>
    <w:rsid w:val="00763D6B"/>
    <w:rsid w:val="00763EF7"/>
    <w:rsid w:val="00766F80"/>
    <w:rsid w:val="00770015"/>
    <w:rsid w:val="00770B0A"/>
    <w:rsid w:val="00771BD4"/>
    <w:rsid w:val="00771D50"/>
    <w:rsid w:val="00771E74"/>
    <w:rsid w:val="007734DA"/>
    <w:rsid w:val="007737E2"/>
    <w:rsid w:val="00774E31"/>
    <w:rsid w:val="00776CD7"/>
    <w:rsid w:val="00777E20"/>
    <w:rsid w:val="00780589"/>
    <w:rsid w:val="00781A79"/>
    <w:rsid w:val="0078442C"/>
    <w:rsid w:val="007849D1"/>
    <w:rsid w:val="00786282"/>
    <w:rsid w:val="0079002A"/>
    <w:rsid w:val="007901EE"/>
    <w:rsid w:val="007912B4"/>
    <w:rsid w:val="00791D5D"/>
    <w:rsid w:val="007936A5"/>
    <w:rsid w:val="0079423D"/>
    <w:rsid w:val="00794F85"/>
    <w:rsid w:val="007955DA"/>
    <w:rsid w:val="00795807"/>
    <w:rsid w:val="00795C2E"/>
    <w:rsid w:val="007A2A93"/>
    <w:rsid w:val="007A52A9"/>
    <w:rsid w:val="007A582D"/>
    <w:rsid w:val="007A7622"/>
    <w:rsid w:val="007B417E"/>
    <w:rsid w:val="007B53DC"/>
    <w:rsid w:val="007B6855"/>
    <w:rsid w:val="007C08B2"/>
    <w:rsid w:val="007C1857"/>
    <w:rsid w:val="007C199E"/>
    <w:rsid w:val="007C1EFE"/>
    <w:rsid w:val="007C6CFD"/>
    <w:rsid w:val="007D0B9C"/>
    <w:rsid w:val="007D1C68"/>
    <w:rsid w:val="007D21C6"/>
    <w:rsid w:val="007D2DED"/>
    <w:rsid w:val="007D419D"/>
    <w:rsid w:val="007D68B8"/>
    <w:rsid w:val="007D7A4F"/>
    <w:rsid w:val="007E0F81"/>
    <w:rsid w:val="007E3150"/>
    <w:rsid w:val="007E4CC6"/>
    <w:rsid w:val="007F10DC"/>
    <w:rsid w:val="007F1940"/>
    <w:rsid w:val="007F3F13"/>
    <w:rsid w:val="007F4EB1"/>
    <w:rsid w:val="007F7403"/>
    <w:rsid w:val="008004DD"/>
    <w:rsid w:val="00800B13"/>
    <w:rsid w:val="0080352D"/>
    <w:rsid w:val="00803E1F"/>
    <w:rsid w:val="0080734E"/>
    <w:rsid w:val="00807795"/>
    <w:rsid w:val="00807890"/>
    <w:rsid w:val="0080792D"/>
    <w:rsid w:val="00807A14"/>
    <w:rsid w:val="008120EB"/>
    <w:rsid w:val="00812DC6"/>
    <w:rsid w:val="00813989"/>
    <w:rsid w:val="008148D9"/>
    <w:rsid w:val="00815219"/>
    <w:rsid w:val="00821CA0"/>
    <w:rsid w:val="00822F2B"/>
    <w:rsid w:val="00823340"/>
    <w:rsid w:val="008246D4"/>
    <w:rsid w:val="00824A28"/>
    <w:rsid w:val="00824E22"/>
    <w:rsid w:val="00830997"/>
    <w:rsid w:val="0083216B"/>
    <w:rsid w:val="00835864"/>
    <w:rsid w:val="008359EF"/>
    <w:rsid w:val="00835D50"/>
    <w:rsid w:val="00837723"/>
    <w:rsid w:val="0084027D"/>
    <w:rsid w:val="008453D7"/>
    <w:rsid w:val="00850A70"/>
    <w:rsid w:val="008517C6"/>
    <w:rsid w:val="00851979"/>
    <w:rsid w:val="008571BE"/>
    <w:rsid w:val="00857CB8"/>
    <w:rsid w:val="00857E68"/>
    <w:rsid w:val="0086292A"/>
    <w:rsid w:val="00862E2D"/>
    <w:rsid w:val="00863435"/>
    <w:rsid w:val="008639EE"/>
    <w:rsid w:val="00863FFF"/>
    <w:rsid w:val="00866398"/>
    <w:rsid w:val="00870BF2"/>
    <w:rsid w:val="00871573"/>
    <w:rsid w:val="008717EC"/>
    <w:rsid w:val="00871808"/>
    <w:rsid w:val="00871939"/>
    <w:rsid w:val="008739AE"/>
    <w:rsid w:val="00873B6F"/>
    <w:rsid w:val="00874899"/>
    <w:rsid w:val="00874E35"/>
    <w:rsid w:val="00875199"/>
    <w:rsid w:val="00877700"/>
    <w:rsid w:val="008778E5"/>
    <w:rsid w:val="00877AAC"/>
    <w:rsid w:val="00880BE0"/>
    <w:rsid w:val="008817D4"/>
    <w:rsid w:val="00882529"/>
    <w:rsid w:val="0088380B"/>
    <w:rsid w:val="00883F60"/>
    <w:rsid w:val="00884956"/>
    <w:rsid w:val="008851F3"/>
    <w:rsid w:val="008856C2"/>
    <w:rsid w:val="008917F2"/>
    <w:rsid w:val="008925CC"/>
    <w:rsid w:val="008927C9"/>
    <w:rsid w:val="008928F8"/>
    <w:rsid w:val="008963A4"/>
    <w:rsid w:val="008A0E0D"/>
    <w:rsid w:val="008A101A"/>
    <w:rsid w:val="008A1A1F"/>
    <w:rsid w:val="008A2147"/>
    <w:rsid w:val="008A3729"/>
    <w:rsid w:val="008A4286"/>
    <w:rsid w:val="008A51A8"/>
    <w:rsid w:val="008B0C3D"/>
    <w:rsid w:val="008B1B47"/>
    <w:rsid w:val="008B1CA3"/>
    <w:rsid w:val="008B448D"/>
    <w:rsid w:val="008B6879"/>
    <w:rsid w:val="008B763C"/>
    <w:rsid w:val="008B77CC"/>
    <w:rsid w:val="008C0B62"/>
    <w:rsid w:val="008C5003"/>
    <w:rsid w:val="008C5CE5"/>
    <w:rsid w:val="008C6E89"/>
    <w:rsid w:val="008C713C"/>
    <w:rsid w:val="008C7FF0"/>
    <w:rsid w:val="008D1893"/>
    <w:rsid w:val="008D588D"/>
    <w:rsid w:val="008D6829"/>
    <w:rsid w:val="008D7493"/>
    <w:rsid w:val="008D7FF7"/>
    <w:rsid w:val="008E145E"/>
    <w:rsid w:val="008E2755"/>
    <w:rsid w:val="008E4A5C"/>
    <w:rsid w:val="008E5AF6"/>
    <w:rsid w:val="008F089B"/>
    <w:rsid w:val="008F264A"/>
    <w:rsid w:val="008F338F"/>
    <w:rsid w:val="008F3B30"/>
    <w:rsid w:val="008F6227"/>
    <w:rsid w:val="008F6617"/>
    <w:rsid w:val="008F6D2B"/>
    <w:rsid w:val="008F75CF"/>
    <w:rsid w:val="0090112B"/>
    <w:rsid w:val="009014C2"/>
    <w:rsid w:val="0090175C"/>
    <w:rsid w:val="00901A9D"/>
    <w:rsid w:val="00903CB8"/>
    <w:rsid w:val="009053E8"/>
    <w:rsid w:val="00905912"/>
    <w:rsid w:val="00906F66"/>
    <w:rsid w:val="00907F69"/>
    <w:rsid w:val="00910AFF"/>
    <w:rsid w:val="00916B9A"/>
    <w:rsid w:val="00920593"/>
    <w:rsid w:val="00920CD6"/>
    <w:rsid w:val="0092107E"/>
    <w:rsid w:val="00922004"/>
    <w:rsid w:val="00925F90"/>
    <w:rsid w:val="00926253"/>
    <w:rsid w:val="00932AC2"/>
    <w:rsid w:val="00932AD6"/>
    <w:rsid w:val="00932F4E"/>
    <w:rsid w:val="00933C0A"/>
    <w:rsid w:val="0093774D"/>
    <w:rsid w:val="00937DB1"/>
    <w:rsid w:val="00941961"/>
    <w:rsid w:val="0094391E"/>
    <w:rsid w:val="0094427C"/>
    <w:rsid w:val="00944439"/>
    <w:rsid w:val="009453F4"/>
    <w:rsid w:val="0094572C"/>
    <w:rsid w:val="009476FB"/>
    <w:rsid w:val="009508A3"/>
    <w:rsid w:val="0095139C"/>
    <w:rsid w:val="00952176"/>
    <w:rsid w:val="009524D0"/>
    <w:rsid w:val="00952DC3"/>
    <w:rsid w:val="009536D3"/>
    <w:rsid w:val="00954FEE"/>
    <w:rsid w:val="009565A6"/>
    <w:rsid w:val="00957101"/>
    <w:rsid w:val="00960AD8"/>
    <w:rsid w:val="00960D7F"/>
    <w:rsid w:val="00961519"/>
    <w:rsid w:val="00962F2C"/>
    <w:rsid w:val="00963B67"/>
    <w:rsid w:val="0096514E"/>
    <w:rsid w:val="00966945"/>
    <w:rsid w:val="00966EDD"/>
    <w:rsid w:val="00967D8C"/>
    <w:rsid w:val="009717E3"/>
    <w:rsid w:val="00971E68"/>
    <w:rsid w:val="00972101"/>
    <w:rsid w:val="009743A9"/>
    <w:rsid w:val="009753D3"/>
    <w:rsid w:val="00975F22"/>
    <w:rsid w:val="00975FB7"/>
    <w:rsid w:val="00977410"/>
    <w:rsid w:val="00977962"/>
    <w:rsid w:val="009801BD"/>
    <w:rsid w:val="00980342"/>
    <w:rsid w:val="0098034A"/>
    <w:rsid w:val="0098363B"/>
    <w:rsid w:val="00984F16"/>
    <w:rsid w:val="00987D03"/>
    <w:rsid w:val="009905AA"/>
    <w:rsid w:val="00990827"/>
    <w:rsid w:val="00991D60"/>
    <w:rsid w:val="0099216F"/>
    <w:rsid w:val="009923D3"/>
    <w:rsid w:val="009923D6"/>
    <w:rsid w:val="00994B8B"/>
    <w:rsid w:val="00995DE2"/>
    <w:rsid w:val="0099629C"/>
    <w:rsid w:val="00997205"/>
    <w:rsid w:val="009A1ABC"/>
    <w:rsid w:val="009A72B4"/>
    <w:rsid w:val="009A7369"/>
    <w:rsid w:val="009A76C7"/>
    <w:rsid w:val="009A76CF"/>
    <w:rsid w:val="009A7FB4"/>
    <w:rsid w:val="009B1EC0"/>
    <w:rsid w:val="009B34FF"/>
    <w:rsid w:val="009B5D04"/>
    <w:rsid w:val="009B7261"/>
    <w:rsid w:val="009C0BEB"/>
    <w:rsid w:val="009C18A6"/>
    <w:rsid w:val="009C1967"/>
    <w:rsid w:val="009C1AD7"/>
    <w:rsid w:val="009C2199"/>
    <w:rsid w:val="009C2CEC"/>
    <w:rsid w:val="009C3E9D"/>
    <w:rsid w:val="009C4872"/>
    <w:rsid w:val="009C4CD5"/>
    <w:rsid w:val="009C5251"/>
    <w:rsid w:val="009C5E74"/>
    <w:rsid w:val="009C61C0"/>
    <w:rsid w:val="009C6246"/>
    <w:rsid w:val="009C7521"/>
    <w:rsid w:val="009D0C1E"/>
    <w:rsid w:val="009D5223"/>
    <w:rsid w:val="009D613D"/>
    <w:rsid w:val="009E0C73"/>
    <w:rsid w:val="009E3F2C"/>
    <w:rsid w:val="009E5BBF"/>
    <w:rsid w:val="009E69EF"/>
    <w:rsid w:val="009E6BA3"/>
    <w:rsid w:val="009E708E"/>
    <w:rsid w:val="009F05CD"/>
    <w:rsid w:val="009F0D01"/>
    <w:rsid w:val="009F1687"/>
    <w:rsid w:val="009F1D2B"/>
    <w:rsid w:val="009F2776"/>
    <w:rsid w:val="009F321D"/>
    <w:rsid w:val="009F37C8"/>
    <w:rsid w:val="009F3842"/>
    <w:rsid w:val="009F7271"/>
    <w:rsid w:val="009F74AA"/>
    <w:rsid w:val="00A00001"/>
    <w:rsid w:val="00A0118F"/>
    <w:rsid w:val="00A01C73"/>
    <w:rsid w:val="00A02A72"/>
    <w:rsid w:val="00A060DF"/>
    <w:rsid w:val="00A064F1"/>
    <w:rsid w:val="00A06B47"/>
    <w:rsid w:val="00A06BC8"/>
    <w:rsid w:val="00A076FF"/>
    <w:rsid w:val="00A07FA8"/>
    <w:rsid w:val="00A11239"/>
    <w:rsid w:val="00A11830"/>
    <w:rsid w:val="00A11C2C"/>
    <w:rsid w:val="00A122F8"/>
    <w:rsid w:val="00A12F46"/>
    <w:rsid w:val="00A13C42"/>
    <w:rsid w:val="00A1438F"/>
    <w:rsid w:val="00A16C44"/>
    <w:rsid w:val="00A17407"/>
    <w:rsid w:val="00A17610"/>
    <w:rsid w:val="00A22DBC"/>
    <w:rsid w:val="00A2541C"/>
    <w:rsid w:val="00A2597D"/>
    <w:rsid w:val="00A25E22"/>
    <w:rsid w:val="00A2756E"/>
    <w:rsid w:val="00A277F6"/>
    <w:rsid w:val="00A30A22"/>
    <w:rsid w:val="00A32AE1"/>
    <w:rsid w:val="00A3396B"/>
    <w:rsid w:val="00A33C41"/>
    <w:rsid w:val="00A3480A"/>
    <w:rsid w:val="00A36D9A"/>
    <w:rsid w:val="00A37E15"/>
    <w:rsid w:val="00A418DC"/>
    <w:rsid w:val="00A4197D"/>
    <w:rsid w:val="00A42677"/>
    <w:rsid w:val="00A429C1"/>
    <w:rsid w:val="00A43784"/>
    <w:rsid w:val="00A4461D"/>
    <w:rsid w:val="00A446BE"/>
    <w:rsid w:val="00A45FD0"/>
    <w:rsid w:val="00A46A26"/>
    <w:rsid w:val="00A50E7C"/>
    <w:rsid w:val="00A50FD4"/>
    <w:rsid w:val="00A54158"/>
    <w:rsid w:val="00A541A7"/>
    <w:rsid w:val="00A55550"/>
    <w:rsid w:val="00A55994"/>
    <w:rsid w:val="00A57501"/>
    <w:rsid w:val="00A579C4"/>
    <w:rsid w:val="00A61CAB"/>
    <w:rsid w:val="00A626EA"/>
    <w:rsid w:val="00A62B33"/>
    <w:rsid w:val="00A62CEB"/>
    <w:rsid w:val="00A640A7"/>
    <w:rsid w:val="00A65BCF"/>
    <w:rsid w:val="00A67DD7"/>
    <w:rsid w:val="00A67FD2"/>
    <w:rsid w:val="00A7039E"/>
    <w:rsid w:val="00A7081C"/>
    <w:rsid w:val="00A70E7E"/>
    <w:rsid w:val="00A71B7C"/>
    <w:rsid w:val="00A73E15"/>
    <w:rsid w:val="00A74D07"/>
    <w:rsid w:val="00A74D9B"/>
    <w:rsid w:val="00A75E24"/>
    <w:rsid w:val="00A76F9C"/>
    <w:rsid w:val="00A7713E"/>
    <w:rsid w:val="00A77644"/>
    <w:rsid w:val="00A81909"/>
    <w:rsid w:val="00A822FB"/>
    <w:rsid w:val="00A82429"/>
    <w:rsid w:val="00A828E0"/>
    <w:rsid w:val="00A83FD9"/>
    <w:rsid w:val="00A8425C"/>
    <w:rsid w:val="00A84544"/>
    <w:rsid w:val="00A85148"/>
    <w:rsid w:val="00A86DA2"/>
    <w:rsid w:val="00A909B1"/>
    <w:rsid w:val="00A9110B"/>
    <w:rsid w:val="00A91993"/>
    <w:rsid w:val="00A93515"/>
    <w:rsid w:val="00A953C6"/>
    <w:rsid w:val="00A95685"/>
    <w:rsid w:val="00AA024B"/>
    <w:rsid w:val="00AA0F4D"/>
    <w:rsid w:val="00AA2B30"/>
    <w:rsid w:val="00AA3F32"/>
    <w:rsid w:val="00AA41A8"/>
    <w:rsid w:val="00AA6BE3"/>
    <w:rsid w:val="00AA6D56"/>
    <w:rsid w:val="00AB273F"/>
    <w:rsid w:val="00AB6364"/>
    <w:rsid w:val="00AB6771"/>
    <w:rsid w:val="00AC019B"/>
    <w:rsid w:val="00AC5BF4"/>
    <w:rsid w:val="00AC5C78"/>
    <w:rsid w:val="00AC5CC5"/>
    <w:rsid w:val="00AD031E"/>
    <w:rsid w:val="00AD0CD2"/>
    <w:rsid w:val="00AD1426"/>
    <w:rsid w:val="00AD165B"/>
    <w:rsid w:val="00AD2587"/>
    <w:rsid w:val="00AD3134"/>
    <w:rsid w:val="00AD407D"/>
    <w:rsid w:val="00AD5930"/>
    <w:rsid w:val="00AD60FF"/>
    <w:rsid w:val="00AD704C"/>
    <w:rsid w:val="00AE0427"/>
    <w:rsid w:val="00AE0714"/>
    <w:rsid w:val="00AE1A2E"/>
    <w:rsid w:val="00AE5502"/>
    <w:rsid w:val="00AE6AC1"/>
    <w:rsid w:val="00AE7505"/>
    <w:rsid w:val="00AE7A26"/>
    <w:rsid w:val="00AF1B41"/>
    <w:rsid w:val="00AF288A"/>
    <w:rsid w:val="00AF4999"/>
    <w:rsid w:val="00AF5569"/>
    <w:rsid w:val="00AF5D77"/>
    <w:rsid w:val="00B00192"/>
    <w:rsid w:val="00B01BEE"/>
    <w:rsid w:val="00B03940"/>
    <w:rsid w:val="00B059D1"/>
    <w:rsid w:val="00B11770"/>
    <w:rsid w:val="00B13222"/>
    <w:rsid w:val="00B1591E"/>
    <w:rsid w:val="00B15CEF"/>
    <w:rsid w:val="00B15F71"/>
    <w:rsid w:val="00B20353"/>
    <w:rsid w:val="00B234D0"/>
    <w:rsid w:val="00B247CC"/>
    <w:rsid w:val="00B25FE3"/>
    <w:rsid w:val="00B302E2"/>
    <w:rsid w:val="00B3032C"/>
    <w:rsid w:val="00B32F76"/>
    <w:rsid w:val="00B33712"/>
    <w:rsid w:val="00B353A1"/>
    <w:rsid w:val="00B4274D"/>
    <w:rsid w:val="00B42C47"/>
    <w:rsid w:val="00B433D4"/>
    <w:rsid w:val="00B4387F"/>
    <w:rsid w:val="00B43885"/>
    <w:rsid w:val="00B4525D"/>
    <w:rsid w:val="00B456E3"/>
    <w:rsid w:val="00B464F7"/>
    <w:rsid w:val="00B466EE"/>
    <w:rsid w:val="00B4726E"/>
    <w:rsid w:val="00B529EF"/>
    <w:rsid w:val="00B63E59"/>
    <w:rsid w:val="00B640EC"/>
    <w:rsid w:val="00B643AD"/>
    <w:rsid w:val="00B67127"/>
    <w:rsid w:val="00B67D17"/>
    <w:rsid w:val="00B70076"/>
    <w:rsid w:val="00B70357"/>
    <w:rsid w:val="00B70C52"/>
    <w:rsid w:val="00B806FE"/>
    <w:rsid w:val="00B815EF"/>
    <w:rsid w:val="00B8335D"/>
    <w:rsid w:val="00B835C4"/>
    <w:rsid w:val="00B838A4"/>
    <w:rsid w:val="00B85BCE"/>
    <w:rsid w:val="00B86459"/>
    <w:rsid w:val="00B903FE"/>
    <w:rsid w:val="00B90757"/>
    <w:rsid w:val="00B92A6A"/>
    <w:rsid w:val="00B94394"/>
    <w:rsid w:val="00B945E5"/>
    <w:rsid w:val="00B9597D"/>
    <w:rsid w:val="00B97216"/>
    <w:rsid w:val="00BA4FC9"/>
    <w:rsid w:val="00BA5776"/>
    <w:rsid w:val="00BA72FF"/>
    <w:rsid w:val="00BB0152"/>
    <w:rsid w:val="00BB06E3"/>
    <w:rsid w:val="00BB124C"/>
    <w:rsid w:val="00BB1538"/>
    <w:rsid w:val="00BB1BE8"/>
    <w:rsid w:val="00BB348A"/>
    <w:rsid w:val="00BB4855"/>
    <w:rsid w:val="00BB74D0"/>
    <w:rsid w:val="00BC0AB2"/>
    <w:rsid w:val="00BC2B83"/>
    <w:rsid w:val="00BC34AD"/>
    <w:rsid w:val="00BC3B13"/>
    <w:rsid w:val="00BC45D7"/>
    <w:rsid w:val="00BC4EAF"/>
    <w:rsid w:val="00BC5526"/>
    <w:rsid w:val="00BD1FDC"/>
    <w:rsid w:val="00BD2857"/>
    <w:rsid w:val="00BD776C"/>
    <w:rsid w:val="00BE0B86"/>
    <w:rsid w:val="00BE2A26"/>
    <w:rsid w:val="00BE2F4F"/>
    <w:rsid w:val="00BE2FC4"/>
    <w:rsid w:val="00BE31AA"/>
    <w:rsid w:val="00BE4368"/>
    <w:rsid w:val="00BE4B76"/>
    <w:rsid w:val="00BE4EC6"/>
    <w:rsid w:val="00BE5CE8"/>
    <w:rsid w:val="00BE616D"/>
    <w:rsid w:val="00BE77CF"/>
    <w:rsid w:val="00BF2841"/>
    <w:rsid w:val="00BF5152"/>
    <w:rsid w:val="00BF621E"/>
    <w:rsid w:val="00BF6384"/>
    <w:rsid w:val="00C04065"/>
    <w:rsid w:val="00C0486E"/>
    <w:rsid w:val="00C04B70"/>
    <w:rsid w:val="00C04F51"/>
    <w:rsid w:val="00C063EC"/>
    <w:rsid w:val="00C065A4"/>
    <w:rsid w:val="00C10BFC"/>
    <w:rsid w:val="00C10DEA"/>
    <w:rsid w:val="00C12B10"/>
    <w:rsid w:val="00C14F26"/>
    <w:rsid w:val="00C15644"/>
    <w:rsid w:val="00C172C3"/>
    <w:rsid w:val="00C20B0F"/>
    <w:rsid w:val="00C20E80"/>
    <w:rsid w:val="00C24330"/>
    <w:rsid w:val="00C24339"/>
    <w:rsid w:val="00C24571"/>
    <w:rsid w:val="00C25331"/>
    <w:rsid w:val="00C26A10"/>
    <w:rsid w:val="00C27368"/>
    <w:rsid w:val="00C2779E"/>
    <w:rsid w:val="00C3158F"/>
    <w:rsid w:val="00C31810"/>
    <w:rsid w:val="00C3186C"/>
    <w:rsid w:val="00C31BC4"/>
    <w:rsid w:val="00C33779"/>
    <w:rsid w:val="00C36E1E"/>
    <w:rsid w:val="00C37CD2"/>
    <w:rsid w:val="00C40850"/>
    <w:rsid w:val="00C42E31"/>
    <w:rsid w:val="00C43917"/>
    <w:rsid w:val="00C44480"/>
    <w:rsid w:val="00C444B5"/>
    <w:rsid w:val="00C44530"/>
    <w:rsid w:val="00C46178"/>
    <w:rsid w:val="00C46996"/>
    <w:rsid w:val="00C47330"/>
    <w:rsid w:val="00C50A60"/>
    <w:rsid w:val="00C50CA0"/>
    <w:rsid w:val="00C527BC"/>
    <w:rsid w:val="00C53459"/>
    <w:rsid w:val="00C549C6"/>
    <w:rsid w:val="00C55872"/>
    <w:rsid w:val="00C55955"/>
    <w:rsid w:val="00C60054"/>
    <w:rsid w:val="00C62522"/>
    <w:rsid w:val="00C6476B"/>
    <w:rsid w:val="00C64CE4"/>
    <w:rsid w:val="00C65AB6"/>
    <w:rsid w:val="00C660E7"/>
    <w:rsid w:val="00C66860"/>
    <w:rsid w:val="00C67500"/>
    <w:rsid w:val="00C70D15"/>
    <w:rsid w:val="00C716E9"/>
    <w:rsid w:val="00C742C8"/>
    <w:rsid w:val="00C74BCC"/>
    <w:rsid w:val="00C75A91"/>
    <w:rsid w:val="00C814DC"/>
    <w:rsid w:val="00C83385"/>
    <w:rsid w:val="00C84011"/>
    <w:rsid w:val="00C847FB"/>
    <w:rsid w:val="00C85666"/>
    <w:rsid w:val="00C85EA3"/>
    <w:rsid w:val="00C865DF"/>
    <w:rsid w:val="00C90E88"/>
    <w:rsid w:val="00C91B6F"/>
    <w:rsid w:val="00C91EF2"/>
    <w:rsid w:val="00C93251"/>
    <w:rsid w:val="00C962A1"/>
    <w:rsid w:val="00CA0952"/>
    <w:rsid w:val="00CA1A15"/>
    <w:rsid w:val="00CA3AED"/>
    <w:rsid w:val="00CA46CD"/>
    <w:rsid w:val="00CA62EB"/>
    <w:rsid w:val="00CA64DA"/>
    <w:rsid w:val="00CB13AF"/>
    <w:rsid w:val="00CB2BE0"/>
    <w:rsid w:val="00CB4A56"/>
    <w:rsid w:val="00CB5455"/>
    <w:rsid w:val="00CB6977"/>
    <w:rsid w:val="00CC146D"/>
    <w:rsid w:val="00CC275E"/>
    <w:rsid w:val="00CC28F0"/>
    <w:rsid w:val="00CC68D9"/>
    <w:rsid w:val="00CD02F6"/>
    <w:rsid w:val="00CD0376"/>
    <w:rsid w:val="00CD2F09"/>
    <w:rsid w:val="00CD3CAB"/>
    <w:rsid w:val="00CD5A2D"/>
    <w:rsid w:val="00CE1A85"/>
    <w:rsid w:val="00CE5F54"/>
    <w:rsid w:val="00CE7265"/>
    <w:rsid w:val="00CF1338"/>
    <w:rsid w:val="00CF1DC4"/>
    <w:rsid w:val="00CF4465"/>
    <w:rsid w:val="00CF51A7"/>
    <w:rsid w:val="00CF5874"/>
    <w:rsid w:val="00CF796E"/>
    <w:rsid w:val="00D00777"/>
    <w:rsid w:val="00D00ECC"/>
    <w:rsid w:val="00D0122A"/>
    <w:rsid w:val="00D045E4"/>
    <w:rsid w:val="00D06CFF"/>
    <w:rsid w:val="00D1200F"/>
    <w:rsid w:val="00D12739"/>
    <w:rsid w:val="00D13ED3"/>
    <w:rsid w:val="00D164D7"/>
    <w:rsid w:val="00D16786"/>
    <w:rsid w:val="00D21E49"/>
    <w:rsid w:val="00D23664"/>
    <w:rsid w:val="00D246F1"/>
    <w:rsid w:val="00D25270"/>
    <w:rsid w:val="00D25953"/>
    <w:rsid w:val="00D2647C"/>
    <w:rsid w:val="00D31710"/>
    <w:rsid w:val="00D32C0C"/>
    <w:rsid w:val="00D33907"/>
    <w:rsid w:val="00D35462"/>
    <w:rsid w:val="00D35EC2"/>
    <w:rsid w:val="00D372A6"/>
    <w:rsid w:val="00D37FD5"/>
    <w:rsid w:val="00D40EBC"/>
    <w:rsid w:val="00D419AD"/>
    <w:rsid w:val="00D44380"/>
    <w:rsid w:val="00D452D6"/>
    <w:rsid w:val="00D454A3"/>
    <w:rsid w:val="00D45AEF"/>
    <w:rsid w:val="00D45FC7"/>
    <w:rsid w:val="00D508C1"/>
    <w:rsid w:val="00D54E09"/>
    <w:rsid w:val="00D5611F"/>
    <w:rsid w:val="00D60E90"/>
    <w:rsid w:val="00D61272"/>
    <w:rsid w:val="00D62215"/>
    <w:rsid w:val="00D624A5"/>
    <w:rsid w:val="00D62FFE"/>
    <w:rsid w:val="00D6457A"/>
    <w:rsid w:val="00D64C49"/>
    <w:rsid w:val="00D657BB"/>
    <w:rsid w:val="00D73D95"/>
    <w:rsid w:val="00D75403"/>
    <w:rsid w:val="00D754D2"/>
    <w:rsid w:val="00D76B0F"/>
    <w:rsid w:val="00D802D4"/>
    <w:rsid w:val="00D80F89"/>
    <w:rsid w:val="00D81425"/>
    <w:rsid w:val="00D82C49"/>
    <w:rsid w:val="00D831D7"/>
    <w:rsid w:val="00D87937"/>
    <w:rsid w:val="00D91AC3"/>
    <w:rsid w:val="00D94717"/>
    <w:rsid w:val="00D95671"/>
    <w:rsid w:val="00D95F98"/>
    <w:rsid w:val="00D96BEF"/>
    <w:rsid w:val="00DA2160"/>
    <w:rsid w:val="00DA2AE7"/>
    <w:rsid w:val="00DA427F"/>
    <w:rsid w:val="00DA488B"/>
    <w:rsid w:val="00DA732D"/>
    <w:rsid w:val="00DA7A70"/>
    <w:rsid w:val="00DB048D"/>
    <w:rsid w:val="00DB09E6"/>
    <w:rsid w:val="00DB0F5D"/>
    <w:rsid w:val="00DB10C2"/>
    <w:rsid w:val="00DB1C6D"/>
    <w:rsid w:val="00DB7122"/>
    <w:rsid w:val="00DC14A7"/>
    <w:rsid w:val="00DC16DB"/>
    <w:rsid w:val="00DC224C"/>
    <w:rsid w:val="00DC2799"/>
    <w:rsid w:val="00DC536C"/>
    <w:rsid w:val="00DC6554"/>
    <w:rsid w:val="00DD1C75"/>
    <w:rsid w:val="00DD20FA"/>
    <w:rsid w:val="00DD30A2"/>
    <w:rsid w:val="00DD7D1D"/>
    <w:rsid w:val="00DE25C1"/>
    <w:rsid w:val="00DE2662"/>
    <w:rsid w:val="00DE3411"/>
    <w:rsid w:val="00DE38C8"/>
    <w:rsid w:val="00DE68D0"/>
    <w:rsid w:val="00DF348A"/>
    <w:rsid w:val="00DF46DC"/>
    <w:rsid w:val="00DF4AFF"/>
    <w:rsid w:val="00DF67EA"/>
    <w:rsid w:val="00E0009F"/>
    <w:rsid w:val="00E007FD"/>
    <w:rsid w:val="00E043E6"/>
    <w:rsid w:val="00E11175"/>
    <w:rsid w:val="00E118D3"/>
    <w:rsid w:val="00E13D5D"/>
    <w:rsid w:val="00E15F8B"/>
    <w:rsid w:val="00E1634F"/>
    <w:rsid w:val="00E16641"/>
    <w:rsid w:val="00E203AA"/>
    <w:rsid w:val="00E21CCF"/>
    <w:rsid w:val="00E22DD8"/>
    <w:rsid w:val="00E230D0"/>
    <w:rsid w:val="00E23C2B"/>
    <w:rsid w:val="00E25193"/>
    <w:rsid w:val="00E2529A"/>
    <w:rsid w:val="00E255D8"/>
    <w:rsid w:val="00E32BBD"/>
    <w:rsid w:val="00E35996"/>
    <w:rsid w:val="00E40C20"/>
    <w:rsid w:val="00E417F6"/>
    <w:rsid w:val="00E418D4"/>
    <w:rsid w:val="00E42906"/>
    <w:rsid w:val="00E438BF"/>
    <w:rsid w:val="00E43D31"/>
    <w:rsid w:val="00E46A27"/>
    <w:rsid w:val="00E47BBE"/>
    <w:rsid w:val="00E52CCE"/>
    <w:rsid w:val="00E54469"/>
    <w:rsid w:val="00E54B7B"/>
    <w:rsid w:val="00E56D48"/>
    <w:rsid w:val="00E60635"/>
    <w:rsid w:val="00E61083"/>
    <w:rsid w:val="00E61B0A"/>
    <w:rsid w:val="00E623A6"/>
    <w:rsid w:val="00E62712"/>
    <w:rsid w:val="00E63F82"/>
    <w:rsid w:val="00E67152"/>
    <w:rsid w:val="00E7146A"/>
    <w:rsid w:val="00E7204B"/>
    <w:rsid w:val="00E72BAA"/>
    <w:rsid w:val="00E738AF"/>
    <w:rsid w:val="00E76F25"/>
    <w:rsid w:val="00E76F8B"/>
    <w:rsid w:val="00E80540"/>
    <w:rsid w:val="00E827E9"/>
    <w:rsid w:val="00E85D54"/>
    <w:rsid w:val="00E86A01"/>
    <w:rsid w:val="00E9009D"/>
    <w:rsid w:val="00E911BA"/>
    <w:rsid w:val="00E913A5"/>
    <w:rsid w:val="00E91930"/>
    <w:rsid w:val="00E933BB"/>
    <w:rsid w:val="00E95F9F"/>
    <w:rsid w:val="00E96A3F"/>
    <w:rsid w:val="00E96B19"/>
    <w:rsid w:val="00E973A5"/>
    <w:rsid w:val="00EA0530"/>
    <w:rsid w:val="00EA060D"/>
    <w:rsid w:val="00EA072A"/>
    <w:rsid w:val="00EA0B12"/>
    <w:rsid w:val="00EA402B"/>
    <w:rsid w:val="00EA5390"/>
    <w:rsid w:val="00EA5FA8"/>
    <w:rsid w:val="00EA6DA7"/>
    <w:rsid w:val="00EA6F16"/>
    <w:rsid w:val="00EA7BE1"/>
    <w:rsid w:val="00EB016B"/>
    <w:rsid w:val="00EB1118"/>
    <w:rsid w:val="00EB14EE"/>
    <w:rsid w:val="00EB33DE"/>
    <w:rsid w:val="00EB457C"/>
    <w:rsid w:val="00EB50E9"/>
    <w:rsid w:val="00EB6C7F"/>
    <w:rsid w:val="00EC011E"/>
    <w:rsid w:val="00EC1218"/>
    <w:rsid w:val="00EC23B1"/>
    <w:rsid w:val="00EC2EAD"/>
    <w:rsid w:val="00EC451E"/>
    <w:rsid w:val="00EC597C"/>
    <w:rsid w:val="00ED3206"/>
    <w:rsid w:val="00ED3A2D"/>
    <w:rsid w:val="00ED3B2B"/>
    <w:rsid w:val="00ED3CF7"/>
    <w:rsid w:val="00ED3F47"/>
    <w:rsid w:val="00ED490C"/>
    <w:rsid w:val="00ED4FAB"/>
    <w:rsid w:val="00ED5729"/>
    <w:rsid w:val="00EE17B4"/>
    <w:rsid w:val="00EE19B6"/>
    <w:rsid w:val="00EE3821"/>
    <w:rsid w:val="00EE68A0"/>
    <w:rsid w:val="00EE6A9C"/>
    <w:rsid w:val="00EF2DFE"/>
    <w:rsid w:val="00EF61E3"/>
    <w:rsid w:val="00EF6FA9"/>
    <w:rsid w:val="00F019AA"/>
    <w:rsid w:val="00F01C1B"/>
    <w:rsid w:val="00F02819"/>
    <w:rsid w:val="00F0489C"/>
    <w:rsid w:val="00F06278"/>
    <w:rsid w:val="00F06740"/>
    <w:rsid w:val="00F06902"/>
    <w:rsid w:val="00F06C51"/>
    <w:rsid w:val="00F1229D"/>
    <w:rsid w:val="00F130AD"/>
    <w:rsid w:val="00F143A0"/>
    <w:rsid w:val="00F149F1"/>
    <w:rsid w:val="00F14F93"/>
    <w:rsid w:val="00F15FC7"/>
    <w:rsid w:val="00F16D46"/>
    <w:rsid w:val="00F17F9A"/>
    <w:rsid w:val="00F21E6B"/>
    <w:rsid w:val="00F22F85"/>
    <w:rsid w:val="00F27C3D"/>
    <w:rsid w:val="00F323E6"/>
    <w:rsid w:val="00F332E6"/>
    <w:rsid w:val="00F341CF"/>
    <w:rsid w:val="00F37724"/>
    <w:rsid w:val="00F40088"/>
    <w:rsid w:val="00F401AB"/>
    <w:rsid w:val="00F40D2B"/>
    <w:rsid w:val="00F41E90"/>
    <w:rsid w:val="00F41EBE"/>
    <w:rsid w:val="00F42069"/>
    <w:rsid w:val="00F424B2"/>
    <w:rsid w:val="00F453D8"/>
    <w:rsid w:val="00F4659F"/>
    <w:rsid w:val="00F5139A"/>
    <w:rsid w:val="00F526CC"/>
    <w:rsid w:val="00F52F5E"/>
    <w:rsid w:val="00F55DD6"/>
    <w:rsid w:val="00F615BB"/>
    <w:rsid w:val="00F62A3C"/>
    <w:rsid w:val="00F62B57"/>
    <w:rsid w:val="00F63011"/>
    <w:rsid w:val="00F63145"/>
    <w:rsid w:val="00F6481E"/>
    <w:rsid w:val="00F662E0"/>
    <w:rsid w:val="00F66922"/>
    <w:rsid w:val="00F71E6F"/>
    <w:rsid w:val="00F802D5"/>
    <w:rsid w:val="00F83DD1"/>
    <w:rsid w:val="00F841C1"/>
    <w:rsid w:val="00F854EB"/>
    <w:rsid w:val="00F8655F"/>
    <w:rsid w:val="00F87E8A"/>
    <w:rsid w:val="00F90A2C"/>
    <w:rsid w:val="00F9106D"/>
    <w:rsid w:val="00F9245C"/>
    <w:rsid w:val="00F94F6F"/>
    <w:rsid w:val="00F95C18"/>
    <w:rsid w:val="00F960DD"/>
    <w:rsid w:val="00F97D71"/>
    <w:rsid w:val="00FA037B"/>
    <w:rsid w:val="00FA05FB"/>
    <w:rsid w:val="00FA082B"/>
    <w:rsid w:val="00FA2645"/>
    <w:rsid w:val="00FA320B"/>
    <w:rsid w:val="00FA44A6"/>
    <w:rsid w:val="00FA49C0"/>
    <w:rsid w:val="00FA63BA"/>
    <w:rsid w:val="00FB211E"/>
    <w:rsid w:val="00FB6796"/>
    <w:rsid w:val="00FC07F1"/>
    <w:rsid w:val="00FC1E45"/>
    <w:rsid w:val="00FC2C28"/>
    <w:rsid w:val="00FC528B"/>
    <w:rsid w:val="00FD138B"/>
    <w:rsid w:val="00FD4F01"/>
    <w:rsid w:val="00FD5C6D"/>
    <w:rsid w:val="00FE038B"/>
    <w:rsid w:val="00FE2987"/>
    <w:rsid w:val="00FE3251"/>
    <w:rsid w:val="00FE34B8"/>
    <w:rsid w:val="00FE3CFA"/>
    <w:rsid w:val="00FE5032"/>
    <w:rsid w:val="00FE5C35"/>
    <w:rsid w:val="00FE5F80"/>
    <w:rsid w:val="00FE7555"/>
    <w:rsid w:val="00FF0C7D"/>
    <w:rsid w:val="00FF24EF"/>
    <w:rsid w:val="00FF3445"/>
    <w:rsid w:val="00FF3BFD"/>
    <w:rsid w:val="00FF4C81"/>
    <w:rsid w:val="00FF54AB"/>
    <w:rsid w:val="00FF591A"/>
    <w:rsid w:val="00FF6194"/>
    <w:rsid w:val="00FF6732"/>
    <w:rsid w:val="00FF72CF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21C515"/>
  <w15:docId w15:val="{1DF0DAC6-27BB-49D2-B7C0-52D3C02D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E8"/>
  </w:style>
  <w:style w:type="paragraph" w:styleId="Heading1">
    <w:name w:val="heading 1"/>
    <w:basedOn w:val="Normal"/>
    <w:next w:val="Normal"/>
    <w:link w:val="Heading1Char"/>
    <w:uiPriority w:val="9"/>
    <w:qFormat/>
    <w:rsid w:val="00372EE8"/>
    <w:pPr>
      <w:keepNext/>
      <w:keepLines/>
      <w:numPr>
        <w:numId w:val="32"/>
      </w:numPr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EE8"/>
    <w:pPr>
      <w:keepNext/>
      <w:keepLines/>
      <w:numPr>
        <w:ilvl w:val="1"/>
        <w:numId w:val="32"/>
      </w:numPr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EE8"/>
    <w:pPr>
      <w:keepNext/>
      <w:keepLines/>
      <w:numPr>
        <w:ilvl w:val="2"/>
        <w:numId w:val="32"/>
      </w:numPr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EE8"/>
    <w:pPr>
      <w:keepNext/>
      <w:keepLines/>
      <w:numPr>
        <w:ilvl w:val="3"/>
        <w:numId w:val="32"/>
      </w:numPr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EE8"/>
    <w:pPr>
      <w:keepNext/>
      <w:keepLines/>
      <w:numPr>
        <w:ilvl w:val="4"/>
        <w:numId w:val="32"/>
      </w:numPr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EE8"/>
    <w:pPr>
      <w:keepNext/>
      <w:keepLines/>
      <w:numPr>
        <w:ilvl w:val="5"/>
        <w:numId w:val="32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EE8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EE8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EE8"/>
    <w:pPr>
      <w:keepNext/>
      <w:keepLines/>
      <w:numPr>
        <w:ilvl w:val="8"/>
        <w:numId w:val="32"/>
      </w:numPr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4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EE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EE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EE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EE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EE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EE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EE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EE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EE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2EE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2EE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72EE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EE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2EE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72EE8"/>
    <w:rPr>
      <w:b/>
      <w:bCs/>
    </w:rPr>
  </w:style>
  <w:style w:type="character" w:styleId="Emphasis">
    <w:name w:val="Emphasis"/>
    <w:basedOn w:val="DefaultParagraphFont"/>
    <w:uiPriority w:val="20"/>
    <w:qFormat/>
    <w:rsid w:val="00372EE8"/>
    <w:rPr>
      <w:i/>
      <w:iCs/>
      <w:color w:val="000000" w:themeColor="text1"/>
    </w:rPr>
  </w:style>
  <w:style w:type="paragraph" w:styleId="NoSpacing">
    <w:name w:val="No Spacing"/>
    <w:uiPriority w:val="1"/>
    <w:qFormat/>
    <w:rsid w:val="00372E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2EE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2EE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EE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EE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72EE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72EE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72EE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72EE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72EE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EE8"/>
    <w:pPr>
      <w:numPr>
        <w:numId w:val="0"/>
      </w:numPr>
      <w:outlineLvl w:val="9"/>
    </w:pPr>
  </w:style>
  <w:style w:type="character" w:styleId="Hyperlink">
    <w:name w:val="Hyperlink"/>
    <w:uiPriority w:val="99"/>
    <w:unhideWhenUsed/>
    <w:rsid w:val="00FA26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64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9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DCF"/>
  </w:style>
  <w:style w:type="paragraph" w:styleId="Footer">
    <w:name w:val="footer"/>
    <w:basedOn w:val="Normal"/>
    <w:link w:val="FooterChar"/>
    <w:uiPriority w:val="99"/>
    <w:unhideWhenUsed/>
    <w:rsid w:val="0058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CF"/>
  </w:style>
  <w:style w:type="paragraph" w:customStyle="1" w:styleId="paragraph">
    <w:name w:val="paragraph"/>
    <w:basedOn w:val="Normal"/>
    <w:rsid w:val="0004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43409"/>
  </w:style>
  <w:style w:type="character" w:customStyle="1" w:styleId="eop">
    <w:name w:val="eop"/>
    <w:basedOn w:val="DefaultParagraphFont"/>
    <w:rsid w:val="00043409"/>
  </w:style>
  <w:style w:type="character" w:customStyle="1" w:styleId="spellingerror">
    <w:name w:val="spellingerror"/>
    <w:basedOn w:val="DefaultParagraphFont"/>
    <w:rsid w:val="00E23C2B"/>
  </w:style>
  <w:style w:type="paragraph" w:styleId="BalloonText">
    <w:name w:val="Balloon Text"/>
    <w:basedOn w:val="Normal"/>
    <w:link w:val="BalloonTextChar"/>
    <w:uiPriority w:val="99"/>
    <w:semiHidden/>
    <w:unhideWhenUsed/>
    <w:rsid w:val="0076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7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1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CA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38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8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387B"/>
    <w:rPr>
      <w:vertAlign w:val="superscript"/>
    </w:rPr>
  </w:style>
  <w:style w:type="paragraph" w:styleId="Revision">
    <w:name w:val="Revision"/>
    <w:hidden/>
    <w:uiPriority w:val="99"/>
    <w:semiHidden/>
    <w:rsid w:val="003F6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2.ed.gov/programs/restart/faq.html" TargetMode="External"/><Relationship Id="rId14" Type="http://schemas.openxmlformats.org/officeDocument/2006/relationships/hyperlink" Target="mailto:contratos@promes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E94B6-C8C1-401A-B8CF-7C0EAD3C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4508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Melendez</dc:creator>
  <cp:keywords/>
  <dc:description/>
  <cp:lastModifiedBy>PRDE</cp:lastModifiedBy>
  <cp:revision>2</cp:revision>
  <cp:lastPrinted>2018-12-18T19:36:00Z</cp:lastPrinted>
  <dcterms:created xsi:type="dcterms:W3CDTF">2021-02-26T20:12:00Z</dcterms:created>
  <dcterms:modified xsi:type="dcterms:W3CDTF">2021-02-26T20:12:00Z</dcterms:modified>
</cp:coreProperties>
</file>